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02" w:rsidRDefault="00A54C02" w:rsidP="00754A4C">
      <w:pPr>
        <w:jc w:val="center"/>
        <w:rPr>
          <w:b/>
          <w:sz w:val="20"/>
        </w:rPr>
      </w:pPr>
    </w:p>
    <w:p w:rsidR="00754A4C" w:rsidRPr="00A54C02" w:rsidRDefault="00754A4C" w:rsidP="00754A4C">
      <w:pPr>
        <w:jc w:val="center"/>
        <w:rPr>
          <w:b/>
          <w:sz w:val="20"/>
          <w:u w:val="single"/>
        </w:rPr>
      </w:pPr>
      <w:r w:rsidRPr="00A54C02">
        <w:rPr>
          <w:b/>
          <w:sz w:val="20"/>
          <w:u w:val="single"/>
        </w:rPr>
        <w:t>Aktuální situace na trhu práce a struktura uchazečů o zaměstnání a volných pracovních míst k 30. listopadu 2017</w:t>
      </w:r>
    </w:p>
    <w:p w:rsidR="00754A4C" w:rsidRPr="00A54C02" w:rsidRDefault="00754A4C" w:rsidP="00754A4C">
      <w:pPr>
        <w:jc w:val="center"/>
        <w:rPr>
          <w:b/>
          <w:sz w:val="20"/>
        </w:rPr>
      </w:pPr>
    </w:p>
    <w:p w:rsidR="00A54C02" w:rsidRDefault="00A54C02" w:rsidP="00754A4C">
      <w:pPr>
        <w:spacing w:line="240" w:lineRule="auto"/>
        <w:rPr>
          <w:rFonts w:cs="Arial"/>
          <w:b/>
          <w:sz w:val="20"/>
          <w:szCs w:val="20"/>
        </w:rPr>
      </w:pPr>
      <w:r w:rsidRPr="00A54C02">
        <w:rPr>
          <w:rFonts w:cs="Arial"/>
          <w:b/>
          <w:sz w:val="20"/>
          <w:szCs w:val="20"/>
        </w:rPr>
        <w:t>Shrnutí situace v listopadu 2017</w:t>
      </w:r>
    </w:p>
    <w:p w:rsidR="00754A4C" w:rsidRPr="00754A4C" w:rsidRDefault="00754A4C" w:rsidP="00754A4C">
      <w:pPr>
        <w:spacing w:line="240" w:lineRule="auto"/>
        <w:rPr>
          <w:rFonts w:cs="Arial"/>
          <w:b/>
          <w:i/>
          <w:sz w:val="20"/>
          <w:szCs w:val="20"/>
        </w:rPr>
      </w:pP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 xml:space="preserve">K 30. 11. 2017 evidoval Úřad práce ČR (ÚP ČR) </w:t>
      </w:r>
      <w:r w:rsidRPr="00A54C02">
        <w:rPr>
          <w:rFonts w:cs="Arial"/>
          <w:bCs/>
          <w:sz w:val="20"/>
          <w:szCs w:val="20"/>
        </w:rPr>
        <w:t>na svých krajských pobočkách a jejich kontaktních pracovištích</w:t>
      </w:r>
      <w:r w:rsidRPr="00A54C02">
        <w:rPr>
          <w:rFonts w:cs="Arial"/>
          <w:b/>
          <w:bCs/>
          <w:sz w:val="20"/>
          <w:szCs w:val="20"/>
        </w:rPr>
        <w:t xml:space="preserve"> celkem 265 469 uchazečů o zaměstnání</w:t>
      </w:r>
      <w:r w:rsidRPr="00A54C02">
        <w:rPr>
          <w:rFonts w:cs="Arial"/>
          <w:sz w:val="20"/>
          <w:szCs w:val="20"/>
        </w:rPr>
        <w:t xml:space="preserve">. Jejich počet byl o 5 704 nižší než na konci předchozího měsíce, ve srovnání se stejným obdobím roku 2016 je nižší o 97 286 osob. Z tohoto počtu bylo </w:t>
      </w:r>
      <w:r w:rsidRPr="00A54C02">
        <w:rPr>
          <w:rFonts w:cs="Arial"/>
          <w:b/>
          <w:sz w:val="20"/>
          <w:szCs w:val="20"/>
        </w:rPr>
        <w:t xml:space="preserve">242 499 </w:t>
      </w:r>
      <w:r w:rsidRPr="00A54C02">
        <w:rPr>
          <w:rFonts w:cs="Arial"/>
          <w:b/>
          <w:bCs/>
          <w:sz w:val="20"/>
          <w:szCs w:val="20"/>
        </w:rPr>
        <w:t xml:space="preserve">dosažitelných uchazečů o zaměstnání </w:t>
      </w:r>
      <w:r w:rsidRPr="00A54C02">
        <w:rPr>
          <w:rFonts w:cs="Arial"/>
          <w:bCs/>
          <w:sz w:val="20"/>
          <w:szCs w:val="20"/>
        </w:rPr>
        <w:t>ve věku 15 – 64 let</w:t>
      </w:r>
      <w:r w:rsidRPr="00A54C02">
        <w:rPr>
          <w:rFonts w:cs="Arial"/>
          <w:sz w:val="20"/>
          <w:szCs w:val="20"/>
        </w:rPr>
        <w:t xml:space="preserve">. Bylo to o 6 011méně než na konci předchozího měsíce. Ve srovnání se stejným obdobím roku 2016 byl jejich počet nižší o 98 166. </w:t>
      </w: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sz w:val="20"/>
          <w:szCs w:val="20"/>
        </w:rPr>
        <w:t>.</w:t>
      </w: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>K 30. 11. 2017 bylo evidováno 12 058 absolventů škol</w:t>
      </w:r>
      <w:r w:rsidRPr="00A54C02">
        <w:rPr>
          <w:rFonts w:cs="Arial"/>
          <w:sz w:val="20"/>
          <w:szCs w:val="20"/>
        </w:rPr>
        <w:t xml:space="preserve"> všech stupňů vzdělání </w:t>
      </w:r>
      <w:r w:rsidRPr="00A54C02">
        <w:rPr>
          <w:rFonts w:cs="Arial"/>
          <w:b/>
          <w:bCs/>
          <w:sz w:val="20"/>
          <w:szCs w:val="20"/>
        </w:rPr>
        <w:t>a mladistvých</w:t>
      </w:r>
      <w:r w:rsidRPr="00A54C02">
        <w:rPr>
          <w:rFonts w:cs="Arial"/>
          <w:sz w:val="20"/>
          <w:szCs w:val="20"/>
        </w:rPr>
        <w:t xml:space="preserve">, jejich počet poklesl ve srovnání s předchozím měsícem o 1 951 osob a ve srovnání s listopadem 2016 byl nižší o 5 754 osob. Na celkové nezaměstnanosti se podíleli 4,5 % (říjen 2017 –  5,2 %, listopad 2016 – 4,9 %). Z celkového počtu absolventů a mladistvých bylo ke konci listopadu evidováno </w:t>
      </w:r>
      <w:r w:rsidRPr="00A54C02">
        <w:rPr>
          <w:rFonts w:cs="Arial"/>
          <w:b/>
          <w:sz w:val="20"/>
          <w:szCs w:val="20"/>
        </w:rPr>
        <w:t>8 715 absolventů.</w:t>
      </w:r>
      <w:r w:rsidRPr="00A54C02">
        <w:rPr>
          <w:rFonts w:cs="Arial"/>
          <w:sz w:val="20"/>
          <w:szCs w:val="20"/>
        </w:rPr>
        <w:t xml:space="preserve"> </w:t>
      </w:r>
    </w:p>
    <w:p w:rsidR="00754A4C" w:rsidRPr="00754A4C" w:rsidRDefault="00754A4C" w:rsidP="00754A4C">
      <w:pPr>
        <w:spacing w:line="240" w:lineRule="auto"/>
        <w:rPr>
          <w:rFonts w:cs="Arial"/>
          <w:sz w:val="20"/>
          <w:szCs w:val="20"/>
        </w:rPr>
      </w:pP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>Ke konci listopadu evidoval ÚP ČR 139 359 žen</w:t>
      </w:r>
      <w:r w:rsidRPr="00A54C02">
        <w:rPr>
          <w:rFonts w:cs="Arial"/>
          <w:sz w:val="20"/>
          <w:szCs w:val="20"/>
        </w:rPr>
        <w:t xml:space="preserve">. Jejich podíl na celkovém počtu uchazečů činil 52,5 %. V evidenci bylo </w:t>
      </w:r>
      <w:r w:rsidRPr="00A54C02">
        <w:rPr>
          <w:rFonts w:cs="Arial"/>
          <w:b/>
          <w:sz w:val="20"/>
          <w:szCs w:val="20"/>
        </w:rPr>
        <w:t>45 526 o</w:t>
      </w:r>
      <w:r w:rsidRPr="00A54C02">
        <w:rPr>
          <w:rFonts w:cs="Arial"/>
          <w:b/>
          <w:bCs/>
          <w:sz w:val="20"/>
          <w:szCs w:val="20"/>
        </w:rPr>
        <w:t>sob se zdravotním postižením</w:t>
      </w:r>
      <w:r w:rsidRPr="00A54C02">
        <w:rPr>
          <w:rFonts w:cs="Arial"/>
          <w:sz w:val="20"/>
          <w:szCs w:val="20"/>
        </w:rPr>
        <w:t>, což představovalo 17,1 % z celkového počtu nezaměstnaných.</w:t>
      </w:r>
    </w:p>
    <w:p w:rsidR="00A54C02" w:rsidRPr="00754A4C" w:rsidRDefault="00A54C02" w:rsidP="00754A4C">
      <w:pPr>
        <w:spacing w:line="240" w:lineRule="auto"/>
        <w:rPr>
          <w:rFonts w:cs="Arial"/>
          <w:b/>
          <w:bCs/>
          <w:sz w:val="20"/>
          <w:szCs w:val="20"/>
        </w:rPr>
      </w:pP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>Podporu v nezaměstnanosti pobíralo 74 065 uchazečů</w:t>
      </w:r>
      <w:r w:rsidRPr="00A54C02">
        <w:rPr>
          <w:rFonts w:cs="Arial"/>
          <w:sz w:val="20"/>
          <w:szCs w:val="20"/>
        </w:rPr>
        <w:t xml:space="preserve"> </w:t>
      </w:r>
      <w:r w:rsidRPr="00A54C02">
        <w:rPr>
          <w:rFonts w:cs="Arial"/>
          <w:b/>
          <w:bCs/>
          <w:sz w:val="20"/>
          <w:szCs w:val="20"/>
        </w:rPr>
        <w:t>o zaměstnání</w:t>
      </w:r>
      <w:r w:rsidRPr="00A54C02">
        <w:rPr>
          <w:rFonts w:cs="Arial"/>
          <w:sz w:val="20"/>
          <w:szCs w:val="20"/>
        </w:rPr>
        <w:t>, tj. 27,9 % všech uchazečů vedených v evidenci (říjen 2017 – 26,4 %, listopad 2016 – 24,3 %).</w:t>
      </w:r>
    </w:p>
    <w:p w:rsidR="00A54C02" w:rsidRPr="00754A4C" w:rsidRDefault="00A54C02" w:rsidP="00754A4C">
      <w:pPr>
        <w:spacing w:line="240" w:lineRule="auto"/>
        <w:rPr>
          <w:rFonts w:cs="Arial"/>
          <w:sz w:val="20"/>
          <w:szCs w:val="20"/>
        </w:rPr>
      </w:pPr>
    </w:p>
    <w:p w:rsidR="00A54C02" w:rsidRPr="00A54C02" w:rsidRDefault="00754A4C" w:rsidP="00A54C02">
      <w:pPr>
        <w:pStyle w:val="Odstavecseseznamem"/>
        <w:numPr>
          <w:ilvl w:val="0"/>
          <w:numId w:val="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>P</w:t>
      </w:r>
      <w:r w:rsidRPr="00A54C02">
        <w:rPr>
          <w:rFonts w:cs="Arial"/>
          <w:b/>
          <w:sz w:val="20"/>
          <w:szCs w:val="20"/>
        </w:rPr>
        <w:t>odíl nezaměstnaných osob</w:t>
      </w:r>
      <w:r w:rsidRPr="00A54C02">
        <w:rPr>
          <w:rFonts w:cs="Arial"/>
          <w:sz w:val="20"/>
          <w:szCs w:val="20"/>
        </w:rPr>
        <w:t xml:space="preserve">, tj. počet dosažitelných uchazečů o zaměstnání ve věku 15 - 64 let k obyvatelstvu stejného věku </w:t>
      </w:r>
      <w:r w:rsidRPr="00A54C02">
        <w:rPr>
          <w:rFonts w:cs="Arial"/>
          <w:b/>
          <w:sz w:val="20"/>
          <w:szCs w:val="20"/>
        </w:rPr>
        <w:t xml:space="preserve">k </w:t>
      </w:r>
      <w:r w:rsidRPr="00A54C02">
        <w:rPr>
          <w:rFonts w:cs="Arial"/>
          <w:b/>
          <w:bCs/>
          <w:sz w:val="20"/>
          <w:szCs w:val="20"/>
        </w:rPr>
        <w:t xml:space="preserve">30. 11. 2017 poklesl na 3,5 % </w:t>
      </w:r>
      <w:r w:rsidRPr="00A54C02">
        <w:rPr>
          <w:rFonts w:cs="Arial"/>
          <w:sz w:val="20"/>
          <w:szCs w:val="20"/>
        </w:rPr>
        <w:t xml:space="preserve">(říjen 2017 </w:t>
      </w:r>
      <w:r w:rsidRPr="00A54C02">
        <w:rPr>
          <w:rFonts w:cs="Arial"/>
          <w:bCs/>
          <w:sz w:val="20"/>
          <w:szCs w:val="20"/>
        </w:rPr>
        <w:t>– 3,6</w:t>
      </w:r>
      <w:r w:rsidRPr="00A54C02">
        <w:rPr>
          <w:rFonts w:cs="Arial"/>
          <w:b/>
          <w:bCs/>
          <w:sz w:val="20"/>
          <w:szCs w:val="20"/>
        </w:rPr>
        <w:t> </w:t>
      </w:r>
      <w:r w:rsidRPr="00A54C02">
        <w:rPr>
          <w:rFonts w:cs="Arial"/>
          <w:bCs/>
          <w:sz w:val="20"/>
          <w:szCs w:val="20"/>
        </w:rPr>
        <w:t xml:space="preserve">%, </w:t>
      </w:r>
      <w:r w:rsidRPr="00A54C02">
        <w:rPr>
          <w:rFonts w:cs="Arial"/>
          <w:sz w:val="20"/>
          <w:szCs w:val="20"/>
        </w:rPr>
        <w:t>listopad 2016 –  4,9 %</w:t>
      </w:r>
      <w:r w:rsidR="00A54C02" w:rsidRPr="00A54C02">
        <w:rPr>
          <w:rFonts w:cs="Arial"/>
          <w:sz w:val="20"/>
          <w:szCs w:val="20"/>
        </w:rPr>
        <w:t>).</w:t>
      </w:r>
      <w:r w:rsidRPr="00A54C02">
        <w:rPr>
          <w:rFonts w:cs="Arial"/>
          <w:sz w:val="20"/>
          <w:szCs w:val="20"/>
        </w:rPr>
        <w:t xml:space="preserve"> </w:t>
      </w:r>
    </w:p>
    <w:p w:rsidR="00A54C02" w:rsidRDefault="00A54C02" w:rsidP="00754A4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40" w:lineRule="auto"/>
        <w:rPr>
          <w:rFonts w:cs="Arial"/>
          <w:sz w:val="20"/>
          <w:szCs w:val="20"/>
        </w:rPr>
      </w:pPr>
    </w:p>
    <w:p w:rsidR="00A54C02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b/>
          <w:bCs/>
          <w:sz w:val="20"/>
          <w:szCs w:val="20"/>
        </w:rPr>
      </w:pPr>
      <w:r w:rsidRPr="00A54C02">
        <w:rPr>
          <w:rFonts w:cs="Arial"/>
          <w:sz w:val="20"/>
          <w:szCs w:val="20"/>
        </w:rPr>
        <w:t xml:space="preserve">Podle posledních dostupných údajů </w:t>
      </w:r>
      <w:r w:rsidRPr="00A54C02">
        <w:rPr>
          <w:rFonts w:cs="Arial"/>
          <w:b/>
          <w:bCs/>
          <w:sz w:val="20"/>
          <w:szCs w:val="20"/>
        </w:rPr>
        <w:t>sezónně neočištěná</w:t>
      </w:r>
      <w:r w:rsidRPr="00A54C02">
        <w:rPr>
          <w:rFonts w:cs="Arial"/>
          <w:bCs/>
          <w:sz w:val="20"/>
          <w:szCs w:val="20"/>
        </w:rPr>
        <w:t xml:space="preserve"> </w:t>
      </w:r>
      <w:r w:rsidRPr="00A54C02">
        <w:rPr>
          <w:rFonts w:cs="Arial"/>
          <w:b/>
          <w:bCs/>
          <w:sz w:val="20"/>
          <w:szCs w:val="20"/>
        </w:rPr>
        <w:t xml:space="preserve">míra nezaměstnanosti </w:t>
      </w:r>
      <w:r w:rsidRPr="00A54C02">
        <w:rPr>
          <w:rFonts w:cs="Arial"/>
          <w:sz w:val="20"/>
          <w:szCs w:val="20"/>
        </w:rPr>
        <w:t xml:space="preserve">zpracovávaná </w:t>
      </w:r>
      <w:r w:rsidRPr="00A54C02">
        <w:rPr>
          <w:rFonts w:cs="Arial"/>
          <w:b/>
          <w:bCs/>
          <w:sz w:val="20"/>
          <w:szCs w:val="20"/>
        </w:rPr>
        <w:t xml:space="preserve">EUROSTATEM </w:t>
      </w:r>
      <w:r w:rsidRPr="00A54C02">
        <w:rPr>
          <w:rFonts w:cs="Arial"/>
          <w:sz w:val="20"/>
          <w:szCs w:val="20"/>
        </w:rPr>
        <w:t>pro mezinárodní srovnání byla</w:t>
      </w:r>
      <w:r w:rsidRPr="00A54C02">
        <w:rPr>
          <w:rFonts w:cs="Arial"/>
          <w:b/>
          <w:bCs/>
          <w:sz w:val="20"/>
          <w:szCs w:val="20"/>
        </w:rPr>
        <w:t xml:space="preserve"> v říjnu ČR 2,6 %, v EU28 7,4 %</w:t>
      </w:r>
      <w:r w:rsidRPr="00A54C02">
        <w:rPr>
          <w:rFonts w:cs="Arial"/>
          <w:sz w:val="20"/>
          <w:szCs w:val="20"/>
        </w:rPr>
        <w:t>.</w:t>
      </w:r>
      <w:r w:rsidRPr="00A54C02">
        <w:rPr>
          <w:rFonts w:cs="Arial"/>
          <w:b/>
          <w:bCs/>
          <w:sz w:val="20"/>
          <w:szCs w:val="20"/>
        </w:rPr>
        <w:t>  Sezónně očištěná</w:t>
      </w:r>
      <w:r w:rsidRPr="00A54C02">
        <w:rPr>
          <w:rFonts w:cs="Arial"/>
          <w:bCs/>
          <w:sz w:val="20"/>
          <w:szCs w:val="20"/>
        </w:rPr>
        <w:t xml:space="preserve"> </w:t>
      </w:r>
      <w:bookmarkStart w:id="0" w:name="_GoBack"/>
      <w:bookmarkEnd w:id="0"/>
      <w:r w:rsidRPr="00A54C02">
        <w:rPr>
          <w:rFonts w:cs="Arial"/>
          <w:b/>
          <w:bCs/>
          <w:sz w:val="20"/>
          <w:szCs w:val="20"/>
        </w:rPr>
        <w:t xml:space="preserve">míra nezaměstnanosti </w:t>
      </w:r>
      <w:r w:rsidRPr="00A54C02">
        <w:rPr>
          <w:rFonts w:cs="Arial"/>
          <w:bCs/>
          <w:sz w:val="20"/>
          <w:szCs w:val="20"/>
        </w:rPr>
        <w:t>byla</w:t>
      </w:r>
      <w:r w:rsidRPr="00A54C02">
        <w:rPr>
          <w:rFonts w:cs="Arial"/>
          <w:b/>
          <w:bCs/>
          <w:sz w:val="20"/>
          <w:szCs w:val="20"/>
        </w:rPr>
        <w:t xml:space="preserve"> v ČR 2,7 % a v EU28  7,4 %.</w:t>
      </w:r>
    </w:p>
    <w:p w:rsidR="00A54C02" w:rsidRDefault="00A54C02" w:rsidP="00754A4C">
      <w:pPr>
        <w:spacing w:line="240" w:lineRule="auto"/>
        <w:rPr>
          <w:rFonts w:cs="Arial"/>
          <w:b/>
          <w:bCs/>
          <w:sz w:val="20"/>
          <w:szCs w:val="20"/>
        </w:rPr>
      </w:pPr>
    </w:p>
    <w:p w:rsidR="00754A4C" w:rsidRPr="00A54C02" w:rsidRDefault="00754A4C" w:rsidP="00A54C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 w:val="20"/>
          <w:szCs w:val="20"/>
        </w:rPr>
      </w:pPr>
      <w:r w:rsidRPr="00A54C02">
        <w:rPr>
          <w:rFonts w:cs="Arial"/>
          <w:b/>
          <w:bCs/>
          <w:sz w:val="20"/>
          <w:szCs w:val="20"/>
        </w:rPr>
        <w:t>ÚP ČR evidoval k 30. 11. 2017 celkem 213 790 volných pracovních míst</w:t>
      </w:r>
      <w:r w:rsidRPr="00A54C02">
        <w:rPr>
          <w:rFonts w:cs="Arial"/>
          <w:sz w:val="20"/>
          <w:szCs w:val="20"/>
        </w:rPr>
        <w:t xml:space="preserve">. Jejich počet byl o 3 924 vyšší než v předchozím měsíci a o 78 490 vyšší než v listopadu 2016. Na jedno volné pracovní místo připadalo v průměru 1,2 uchazečů, z toho nejvíce v okresech Karviná (8,8), Ústí nad Labem (5,5), Jeseník (5,2), Znojmo (4,9), Most (4,8), Bruntál (4,4), Děčín (3,8), Hodonín (3,6), Sokolov a Opava (oba 3,4). </w:t>
      </w:r>
    </w:p>
    <w:p w:rsidR="00A54C02" w:rsidRDefault="00A54C02" w:rsidP="00754A4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40" w:lineRule="auto"/>
        <w:rPr>
          <w:rFonts w:cs="Arial"/>
          <w:sz w:val="20"/>
          <w:szCs w:val="20"/>
        </w:rPr>
      </w:pPr>
    </w:p>
    <w:p w:rsidR="00754A4C" w:rsidRPr="00A54C02" w:rsidRDefault="00A54C02" w:rsidP="00754A4C">
      <w:pPr>
        <w:rPr>
          <w:sz w:val="20"/>
        </w:rPr>
      </w:pPr>
      <w:r w:rsidRPr="00A54C02">
        <w:rPr>
          <w:sz w:val="20"/>
        </w:rPr>
        <w:t>V následující části je uváděn tabulkový přehled struktury uchazečů o zaměstnání a hlášených volných pracovních míst</w:t>
      </w:r>
    </w:p>
    <w:p w:rsidR="00754A4C" w:rsidRDefault="00754A4C">
      <w:pPr>
        <w:spacing w:after="200"/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754A4C" w:rsidRPr="00754A4C" w:rsidRDefault="00754A4C" w:rsidP="00754A4C">
      <w:pPr>
        <w:jc w:val="center"/>
        <w:rPr>
          <w:b/>
          <w:sz w:val="20"/>
        </w:rPr>
      </w:pPr>
    </w:p>
    <w:tbl>
      <w:tblPr>
        <w:tblW w:w="146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2954"/>
        <w:gridCol w:w="878"/>
        <w:gridCol w:w="927"/>
        <w:gridCol w:w="1071"/>
        <w:gridCol w:w="630"/>
        <w:gridCol w:w="896"/>
        <w:gridCol w:w="620"/>
        <w:gridCol w:w="1096"/>
        <w:gridCol w:w="796"/>
        <w:gridCol w:w="916"/>
        <w:gridCol w:w="2232"/>
      </w:tblGrid>
      <w:tr w:rsidR="00965CFC" w:rsidRPr="00E17942" w:rsidTr="00965CFC">
        <w:trPr>
          <w:trHeight w:val="300"/>
        </w:trPr>
        <w:tc>
          <w:tcPr>
            <w:tcW w:w="80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Struktura uchazečů o zaměstnání a volných pracovních míst k 30. listopadu 2017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004B0208" wp14:editId="58999AB0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48260</wp:posOffset>
                  </wp:positionV>
                  <wp:extent cx="3362325" cy="3133725"/>
                  <wp:effectExtent l="0" t="0" r="9525" b="9525"/>
                  <wp:wrapNone/>
                  <wp:docPr id="21" name="Graf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UoZ k 30. listopadu 2017</w:t>
            </w:r>
          </w:p>
        </w:tc>
        <w:tc>
          <w:tcPr>
            <w:tcW w:w="1805" w:type="dxa"/>
            <w:gridSpan w:val="2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Absolutní počty</w:t>
            </w:r>
          </w:p>
        </w:tc>
        <w:tc>
          <w:tcPr>
            <w:tcW w:w="2597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Podíly (v %)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E41A84" w:rsidRPr="00E17942" w:rsidTr="00884A89">
        <w:trPr>
          <w:trHeight w:val="315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</w:t>
            </w:r>
          </w:p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96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 uchaz.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41A84" w:rsidRPr="00E17942" w:rsidTr="00884A89">
        <w:trPr>
          <w:trHeight w:val="35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30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265 469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139 359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52,50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osoby se zdravotním postižením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45 526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23 574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17,15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16,92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51,78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plně invalidní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2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částečně invalidní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72,73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os. zdrav. znevýhodn.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5 586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3 214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2,10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2,31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57,54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1. st. inval (§39/2a)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26 196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13 820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9,87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9,92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52,76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2. st. inval. (§39/2b)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13 499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6 443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5,08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4,62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47,73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3. st. inval. (§39/2c)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0,03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44,94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3. st. inval. (§39/2c), §39/4f)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31,06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uchazeči s evidencí delší 5 měsíců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147 582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80 052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55,59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57,44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sz w:val="16"/>
                <w:szCs w:val="16"/>
                <w:lang w:eastAsia="cs-CZ"/>
              </w:rPr>
              <w:t>ženy-těhotné,kojící a matky do 9 měsíců po porodu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4 305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4 305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1,62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osoby pečující o dítě do 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45 347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41 346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17,08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29,67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91,18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osoby potřebující zvláštní pomoc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2 780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1 003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36,08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754A4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23E48913" wp14:editId="116B5C52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41910</wp:posOffset>
                  </wp:positionV>
                  <wp:extent cx="3314700" cy="2733675"/>
                  <wp:effectExtent l="0" t="0" r="19050" b="9525"/>
                  <wp:wrapNone/>
                  <wp:docPr id="20" name="Graf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E41A84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osoby v hmotné nouzi </w:t>
            </w:r>
          </w:p>
        </w:tc>
        <w:tc>
          <w:tcPr>
            <w:tcW w:w="878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67 942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34 788</w:t>
            </w:r>
          </w:p>
        </w:tc>
        <w:tc>
          <w:tcPr>
            <w:tcW w:w="1071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25,59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24,96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51,20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41A84" w:rsidRPr="00E17942" w:rsidTr="004A46F3">
        <w:trPr>
          <w:trHeight w:val="315"/>
        </w:trPr>
        <w:tc>
          <w:tcPr>
            <w:tcW w:w="4539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1A84" w:rsidRPr="00E17942" w:rsidRDefault="00E41A84" w:rsidP="00E41A84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Věková struktura UoZ k 30. listopadu 2017</w:t>
            </w:r>
          </w:p>
        </w:tc>
        <w:tc>
          <w:tcPr>
            <w:tcW w:w="878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</w:t>
            </w:r>
          </w:p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96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 uchaz.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41A84" w:rsidRPr="00E17942" w:rsidTr="00E41A84">
        <w:trPr>
          <w:trHeight w:val="154"/>
        </w:trPr>
        <w:tc>
          <w:tcPr>
            <w:tcW w:w="4539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 25 let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31 588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14 956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11,90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10,73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47,35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do 19 let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9 760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4 886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3,68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3,51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50,06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20-24 let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21 828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10 070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8,22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46,13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25 - 50 let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136 716</w:t>
            </w:r>
          </w:p>
        </w:tc>
        <w:tc>
          <w:tcPr>
            <w:tcW w:w="927" w:type="dxa"/>
            <w:tcBorders>
              <w:top w:val="nil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77 105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51,50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55,33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56,40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25-29 let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25 480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13 490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9,60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9,68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52,94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30-34 let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25 415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14 379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9,57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10,32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56,58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35-39 let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28 021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16 246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10,56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11,66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57,98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40-44 let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30 659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17 849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11,55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12,81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58,22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45-49 let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27 141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15 141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10,22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10,86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55,79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nad 50 let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97 165</w:t>
            </w:r>
          </w:p>
        </w:tc>
        <w:tc>
          <w:tcPr>
            <w:tcW w:w="927" w:type="dxa"/>
            <w:tcBorders>
              <w:top w:val="single" w:sz="4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47 298</w:t>
            </w:r>
          </w:p>
        </w:tc>
        <w:tc>
          <w:tcPr>
            <w:tcW w:w="1071" w:type="dxa"/>
            <w:tcBorders>
              <w:top w:val="single" w:sz="4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36,60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33,94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48,68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50-54 let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32 355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17 431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12,19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12,51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53,87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55-59 let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39 329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22 199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14,81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15,93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56,44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60-64 let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23 982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7 172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9,03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5,15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29,91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nad 65 let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1 499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496</w:t>
            </w:r>
          </w:p>
        </w:tc>
        <w:tc>
          <w:tcPr>
            <w:tcW w:w="1071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0,56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33,09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3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Průměrný věk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42,9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42,4</w:t>
            </w:r>
          </w:p>
        </w:tc>
        <w:tc>
          <w:tcPr>
            <w:tcW w:w="1071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6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30"/>
        </w:trPr>
        <w:tc>
          <w:tcPr>
            <w:tcW w:w="1585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Vzdělanostní struktura UoZ k 30. 11. 2017</w:t>
            </w:r>
          </w:p>
        </w:tc>
        <w:tc>
          <w:tcPr>
            <w:tcW w:w="1805" w:type="dxa"/>
            <w:gridSpan w:val="2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Absolutní počty</w:t>
            </w:r>
          </w:p>
        </w:tc>
        <w:tc>
          <w:tcPr>
            <w:tcW w:w="2597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Podíly (%)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107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 uchaz.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30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265 469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139 359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52,50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nejvýše dosažené ZŠ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83 666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44 874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31,52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32,20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53,63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bez vzdělání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8 505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4 095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3,20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2,94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48,15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neúplné zákl. vzdělání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2 469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1 245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0,93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0,89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50,43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základní vzdělání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72 692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39 534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27,38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28,37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54,39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střední vzdělání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161 718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83 583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60,92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59,98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51,68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nižší střední vzdělání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163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118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0,06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0,08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72,39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nižší střední odborné vzdělání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6 754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3 420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2,54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2,45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50,64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střední odborné vzdělání s výuč.listem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91 248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41 619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34,37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29,86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45,61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stř.nebo stř.odb. bez mat.i výuč.listu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1 474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1 180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0,56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0,85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80,05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ÚSV 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7 447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4 579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2,81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3,29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61,49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ÚSO s vyučením i maturitou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11 283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5 643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4,25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4,05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50,01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ÚSO s maturitou (bez vyučení)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41 037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25 387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15,46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18,22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61,86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vyšší odborné vzdělání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2 312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1 637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0,87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70,80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vysokoškolské vzdělání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20 085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10 902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7,82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bakalářské vzdělání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4 946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3 124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1,86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2,24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63,16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magisterské vzdělání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14 658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7 539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5,52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5,41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51,43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41A84">
        <w:trPr>
          <w:trHeight w:val="315"/>
        </w:trPr>
        <w:tc>
          <w:tcPr>
            <w:tcW w:w="1585" w:type="dxa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doktorské vzdělání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481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239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0,18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0,17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49,69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754A4C" w:rsidRDefault="00754A4C"/>
    <w:tbl>
      <w:tblPr>
        <w:tblW w:w="146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2954"/>
        <w:gridCol w:w="878"/>
        <w:gridCol w:w="927"/>
        <w:gridCol w:w="1071"/>
        <w:gridCol w:w="630"/>
        <w:gridCol w:w="896"/>
        <w:gridCol w:w="620"/>
        <w:gridCol w:w="1096"/>
        <w:gridCol w:w="796"/>
        <w:gridCol w:w="916"/>
        <w:gridCol w:w="2232"/>
      </w:tblGrid>
      <w:tr w:rsidR="00965CFC" w:rsidRPr="00E17942" w:rsidTr="00E41A84">
        <w:trPr>
          <w:trHeight w:val="315"/>
        </w:trPr>
        <w:tc>
          <w:tcPr>
            <w:tcW w:w="4539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UoZ podle zaměstnání 30. listopadu 2017 dle CZ-ISCO</w:t>
            </w:r>
          </w:p>
        </w:tc>
        <w:tc>
          <w:tcPr>
            <w:tcW w:w="1805" w:type="dxa"/>
            <w:gridSpan w:val="2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Absolutní počty</w:t>
            </w:r>
          </w:p>
        </w:tc>
        <w:tc>
          <w:tcPr>
            <w:tcW w:w="2597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Podíly (%)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965CFC" w:rsidRPr="00E17942">
              <w:trPr>
                <w:trHeight w:val="315"/>
                <w:tblCellSpacing w:w="0" w:type="dxa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65CFC" w:rsidRPr="00E17942" w:rsidRDefault="00965CFC" w:rsidP="00965CFC">
                  <w:pPr>
                    <w:spacing w:line="240" w:lineRule="auto"/>
                    <w:jc w:val="left"/>
                    <w:rPr>
                      <w:rFonts w:ascii="Arial CE" w:eastAsia="Times New Roman" w:hAnsi="Arial CE" w:cs="Arial CE"/>
                      <w:i/>
                      <w:iCs/>
                      <w:sz w:val="16"/>
                      <w:szCs w:val="16"/>
                      <w:lang w:eastAsia="cs-CZ"/>
                    </w:rPr>
                  </w:pPr>
                  <w:r w:rsidRPr="00E17942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eastAsia="cs-CZ"/>
                    </w:rPr>
                    <w:drawing>
                      <wp:anchor distT="0" distB="0" distL="114300" distR="114300" simplePos="0" relativeHeight="251661312" behindDoc="0" locked="0" layoutInCell="1" allowOverlap="1" wp14:anchorId="66C00545" wp14:editId="6F9727AB">
                        <wp:simplePos x="0" y="0"/>
                        <wp:positionH relativeFrom="column">
                          <wp:posOffset>190500</wp:posOffset>
                        </wp:positionH>
                        <wp:positionV relativeFrom="paragraph">
                          <wp:posOffset>0</wp:posOffset>
                        </wp:positionV>
                        <wp:extent cx="3324225" cy="2914650"/>
                        <wp:effectExtent l="0" t="0" r="9525" b="19050"/>
                        <wp:wrapNone/>
                        <wp:docPr id="19" name="Graf 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E41A84" w:rsidRPr="00E17942" w:rsidTr="00965266">
        <w:trPr>
          <w:trHeight w:val="300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E41A8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 ženy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96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E41A8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 na uchaz.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E41A84" w:rsidRPr="00E17942" w:rsidTr="00965266">
        <w:trPr>
          <w:trHeight w:val="315"/>
        </w:trPr>
        <w:tc>
          <w:tcPr>
            <w:tcW w:w="4539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A84" w:rsidRPr="00E17942" w:rsidRDefault="00E41A84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30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 xml:space="preserve">celkem 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265 469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139 359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52,50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1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Zákonodárci a řídící pracovníci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3 449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1 057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1,30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30,65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2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Specialisté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13 448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7 254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5,07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53,94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3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Techničtí a odborní pracovníci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18 306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8 266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6,90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45,15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tř. 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Úředníci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31 727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25 672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11,95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80,92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tř. 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Pracovníci ve službách a prodeji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56 251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38 461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21,19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27,60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68,37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6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Kvalifik. prac. v zem., les. a ryb.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2 697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1 548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1,02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57,40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7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Řemeslníci a opraváři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27 076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3 710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10,20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13,70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8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Obsluha strojů a zařízení, montéři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24 065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4 920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9,07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20,44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9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Pomocní a nekvalifikovaní pracovníci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81 786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45 331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30,81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32,53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55,43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tř. 0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Zaměstnanci v ozbrojených silách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0,04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neuvedeno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6 558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3 132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2,47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2,25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47,76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E41A84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62336" behindDoc="0" locked="0" layoutInCell="1" allowOverlap="1" wp14:anchorId="14D9B1C7" wp14:editId="7E85CCEC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119380</wp:posOffset>
                  </wp:positionV>
                  <wp:extent cx="3267075" cy="2752725"/>
                  <wp:effectExtent l="0" t="0" r="9525" b="9525"/>
                  <wp:wrapNone/>
                  <wp:docPr id="15" name="Graf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17942" w:rsidRPr="00E17942" w:rsidTr="001825C5">
        <w:trPr>
          <w:trHeight w:val="300"/>
        </w:trPr>
        <w:tc>
          <w:tcPr>
            <w:tcW w:w="4539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UoZ podle délky evidence 30. listopadu 2017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</w:t>
            </w:r>
          </w:p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107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96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 uchaz.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17942" w:rsidRPr="00E17942" w:rsidTr="001825C5">
        <w:trPr>
          <w:trHeight w:val="51"/>
        </w:trPr>
        <w:tc>
          <w:tcPr>
            <w:tcW w:w="4539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15"/>
        </w:trPr>
        <w:tc>
          <w:tcPr>
            <w:tcW w:w="4539" w:type="dxa"/>
            <w:gridSpan w:val="2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 12 měsíců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168 965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86 806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63,65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62,29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51,38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do 3 měsíců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88 963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43 695</w:t>
            </w:r>
          </w:p>
        </w:tc>
        <w:tc>
          <w:tcPr>
            <w:tcW w:w="107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33,51</w:t>
            </w:r>
          </w:p>
        </w:tc>
        <w:tc>
          <w:tcPr>
            <w:tcW w:w="63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31,35</w:t>
            </w:r>
          </w:p>
        </w:tc>
        <w:tc>
          <w:tcPr>
            <w:tcW w:w="896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49,12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3 - 6 měsíců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39 774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21 562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14,98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15,47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54,21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965CFC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6 - 9 měsíců</w:t>
            </w:r>
          </w:p>
        </w:tc>
        <w:tc>
          <w:tcPr>
            <w:tcW w:w="87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24 299</w:t>
            </w:r>
          </w:p>
        </w:tc>
        <w:tc>
          <w:tcPr>
            <w:tcW w:w="927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12 980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9,15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9,31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53,42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dotted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9 - 12 měsíců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15 929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8 569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6,00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6,15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53,79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00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nad 12 měsíců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96 504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52 553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36,35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37,71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00"/>
        </w:trPr>
        <w:tc>
          <w:tcPr>
            <w:tcW w:w="1585" w:type="dxa"/>
            <w:tcBorders>
              <w:top w:val="nil"/>
              <w:left w:val="double" w:sz="6" w:space="0" w:color="000000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12 - 24 měsíců</w:t>
            </w:r>
          </w:p>
        </w:tc>
        <w:tc>
          <w:tcPr>
            <w:tcW w:w="87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29 467</w:t>
            </w:r>
          </w:p>
        </w:tc>
        <w:tc>
          <w:tcPr>
            <w:tcW w:w="927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16 601</w:t>
            </w: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11,10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11,91</w:t>
            </w:r>
          </w:p>
        </w:tc>
        <w:tc>
          <w:tcPr>
            <w:tcW w:w="896" w:type="dxa"/>
            <w:tcBorders>
              <w:top w:val="nil"/>
              <w:left w:val="nil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56,34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15"/>
        </w:trPr>
        <w:tc>
          <w:tcPr>
            <w:tcW w:w="1585" w:type="dxa"/>
            <w:tcBorders>
              <w:top w:val="nil"/>
              <w:left w:val="double" w:sz="6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nad 24 měsíce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67 037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35 952</w:t>
            </w:r>
          </w:p>
        </w:tc>
        <w:tc>
          <w:tcPr>
            <w:tcW w:w="1071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25,25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25,80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53,63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15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Průměrná délka evidence (nevyřazení UoZ, dny)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726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E17942">
        <w:trPr>
          <w:trHeight w:val="315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lastRenderedPageBreak/>
              <w:t>Průměrné délka evidence (vyřazených UoZ, dny)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310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337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E17942" w:rsidRDefault="00E17942">
      <w:r>
        <w:br w:type="page"/>
      </w:r>
    </w:p>
    <w:tbl>
      <w:tblPr>
        <w:tblW w:w="15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9"/>
        <w:gridCol w:w="878"/>
        <w:gridCol w:w="927"/>
        <w:gridCol w:w="460"/>
        <w:gridCol w:w="1040"/>
        <w:gridCol w:w="807"/>
        <w:gridCol w:w="142"/>
        <w:gridCol w:w="850"/>
        <w:gridCol w:w="382"/>
        <w:gridCol w:w="1096"/>
        <w:gridCol w:w="796"/>
        <w:gridCol w:w="916"/>
        <w:gridCol w:w="2232"/>
      </w:tblGrid>
      <w:tr w:rsidR="00965CFC" w:rsidRPr="00E17942" w:rsidTr="00754A4C">
        <w:trPr>
          <w:trHeight w:val="330"/>
        </w:trPr>
        <w:tc>
          <w:tcPr>
            <w:tcW w:w="9643" w:type="dxa"/>
            <w:gridSpan w:val="8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Uchazeči o zaměstnání vykonávající nekolidující zaměstnání (listopad 2017)</w:t>
            </w:r>
          </w:p>
        </w:tc>
        <w:tc>
          <w:tcPr>
            <w:tcW w:w="180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 průběhu měsíce</w:t>
            </w:r>
          </w:p>
        </w:tc>
        <w:tc>
          <w:tcPr>
            <w:tcW w:w="3299" w:type="dxa"/>
            <w:gridSpan w:val="5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na konci měsíce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podíl na UoZ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podíl na UoZ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25 523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9,61%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14 832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5,59%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UoZ s podporou v nezaměstnanosti</w:t>
            </w:r>
          </w:p>
        </w:tc>
        <w:tc>
          <w:tcPr>
            <w:tcW w:w="1805" w:type="dxa"/>
            <w:gridSpan w:val="2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Absolutní počty</w:t>
            </w:r>
          </w:p>
        </w:tc>
        <w:tc>
          <w:tcPr>
            <w:tcW w:w="3299" w:type="dxa"/>
            <w:gridSpan w:val="5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Podíly (%)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17942" w:rsidRPr="00E17942" w:rsidTr="00754A4C">
        <w:trPr>
          <w:trHeight w:val="300"/>
        </w:trPr>
        <w:tc>
          <w:tcPr>
            <w:tcW w:w="4539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E17942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 toho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</w:t>
            </w: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949" w:type="dxa"/>
            <w:gridSpan w:val="2"/>
            <w:vMerge w:val="restar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E17942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ženyna uchaz.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E17942" w:rsidRPr="00E17942" w:rsidTr="00754A4C">
        <w:trPr>
          <w:trHeight w:val="103"/>
        </w:trPr>
        <w:tc>
          <w:tcPr>
            <w:tcW w:w="4539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27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49" w:type="dxa"/>
            <w:gridSpan w:val="2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vMerge/>
            <w:tcBorders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42" w:rsidRPr="00E17942" w:rsidRDefault="00E17942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45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74 065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40 716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949" w:type="dxa"/>
            <w:gridSpan w:val="2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54,97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9643" w:type="dxa"/>
            <w:gridSpan w:val="8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Podle doby evidence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8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 12 měsíců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73 283</w:t>
            </w:r>
          </w:p>
        </w:tc>
        <w:tc>
          <w:tcPr>
            <w:tcW w:w="927" w:type="dxa"/>
            <w:tcBorders>
              <w:top w:val="single" w:sz="8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40 294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98,94</w:t>
            </w:r>
          </w:p>
        </w:tc>
        <w:tc>
          <w:tcPr>
            <w:tcW w:w="807" w:type="dxa"/>
            <w:tcBorders>
              <w:top w:val="single" w:sz="8" w:space="0" w:color="000000"/>
              <w:left w:val="double" w:sz="6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98,96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54,98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12 - 24 měsíců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675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339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0,91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0,83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50,22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nad 24 měsíce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0,14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77,57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9643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Podle výše měsíčního nároku na podporu v nezaměstnanosti (PvN)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8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do 1500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220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0,30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47,27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1501-2500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979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1,32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52,50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2501-3500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15 299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10 730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20,66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26,35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70,14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3501-4500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3 977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2 395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5,37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60,22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4501-5500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9 783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5 803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13,21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59,32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5501-6500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8 610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5 178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11,62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60,14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6501-7500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7 333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4 052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9,90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55,26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7501 - 8500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6 532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3 233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8,82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49,49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8501-9500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5 243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2 391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7,08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45,60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9501 - 10500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4 115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1 788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5,56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43,45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10501 - 11500 Kč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2 837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1 192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3,83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42,02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tcBorders>
              <w:top w:val="single" w:sz="4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  11501 Kč a více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9 137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3 336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12,34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36,51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45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 xml:space="preserve"> Průměrný měsíční nárok na podporu v nez.</w:t>
            </w:r>
          </w:p>
        </w:tc>
        <w:tc>
          <w:tcPr>
            <w:tcW w:w="878" w:type="dxa"/>
            <w:tcBorders>
              <w:top w:val="double" w:sz="6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7 028 Kč</w:t>
            </w:r>
          </w:p>
        </w:tc>
        <w:tc>
          <w:tcPr>
            <w:tcW w:w="1387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6 352 Kč</w:t>
            </w:r>
          </w:p>
        </w:tc>
        <w:tc>
          <w:tcPr>
            <w:tcW w:w="1847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PvN žen na prům. PvN</w:t>
            </w:r>
          </w:p>
        </w:tc>
        <w:tc>
          <w:tcPr>
            <w:tcW w:w="992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90,38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754A4C" w:rsidRDefault="00754A4C">
      <w:r>
        <w:br w:type="page"/>
      </w:r>
    </w:p>
    <w:tbl>
      <w:tblPr>
        <w:tblW w:w="15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59"/>
        <w:gridCol w:w="2954"/>
        <w:gridCol w:w="1131"/>
        <w:gridCol w:w="1134"/>
        <w:gridCol w:w="1040"/>
        <w:gridCol w:w="807"/>
        <w:gridCol w:w="992"/>
        <w:gridCol w:w="382"/>
        <w:gridCol w:w="1096"/>
        <w:gridCol w:w="796"/>
        <w:gridCol w:w="916"/>
        <w:gridCol w:w="2232"/>
      </w:tblGrid>
      <w:tr w:rsidR="00965CFC" w:rsidRPr="00E17942" w:rsidTr="00754A4C">
        <w:trPr>
          <w:trHeight w:val="330"/>
        </w:trPr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hlášených volných míst k 30. listopadu 2017</w:t>
            </w:r>
          </w:p>
        </w:tc>
        <w:tc>
          <w:tcPr>
            <w:tcW w:w="1131" w:type="dxa"/>
            <w:vMerge w:val="restart"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Absolutní počet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 xml:space="preserve"> Podíly (%)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63360" behindDoc="0" locked="0" layoutInCell="1" allowOverlap="1" wp14:anchorId="0838E3AD" wp14:editId="098316CD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-4445</wp:posOffset>
                  </wp:positionV>
                  <wp:extent cx="4629150" cy="5943600"/>
                  <wp:effectExtent l="0" t="0" r="19050" b="19050"/>
                  <wp:wrapNone/>
                  <wp:docPr id="14" name="Graf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</w:tblGrid>
            <w:tr w:rsidR="00965CFC" w:rsidRPr="00E17942">
              <w:trPr>
                <w:trHeight w:val="315"/>
                <w:tblCellSpacing w:w="0" w:type="dxa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65CFC" w:rsidRPr="00E17942" w:rsidRDefault="00965CFC" w:rsidP="00965CFC">
                  <w:pPr>
                    <w:spacing w:line="240" w:lineRule="auto"/>
                    <w:jc w:val="left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31" w:type="dxa"/>
            <w:vMerge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auto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31" w:type="dxa"/>
            <w:vMerge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000000"/>
              <w:bottom w:val="nil"/>
              <w:right w:val="double" w:sz="6" w:space="0" w:color="auto"/>
            </w:tcBorders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453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3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213 790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30"/>
        </w:trPr>
        <w:tc>
          <w:tcPr>
            <w:tcW w:w="6804" w:type="dxa"/>
            <w:gridSpan w:val="5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Struktura VPM podle vzdělání 30. 11. 2017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nejvýše dosažené ZŠ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120 283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56,26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bez vzdělání</w:t>
            </w:r>
          </w:p>
        </w:tc>
        <w:tc>
          <w:tcPr>
            <w:tcW w:w="1131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7 043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neúplné zákl. vzdělání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základní vzdělání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112 826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52,77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středoškolské vzdělání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83 849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39,22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nižší střední vzdělání</w:t>
            </w:r>
          </w:p>
        </w:tc>
        <w:tc>
          <w:tcPr>
            <w:tcW w:w="1131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1 977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nižší střední odborné vzdělání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11 671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střední odborné vzdělání s výuč.listem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46 353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21,68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stř.nebo stř.odb. bez mat.i výuč.listu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1 779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ÚSV 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5 445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ÚSO s vyučením i maturitou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4 496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ÚSO s maturitou (bez vyučení)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10 424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nil"/>
              <w:left w:val="dotted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vyšší odborné vzdělání</w:t>
            </w:r>
          </w:p>
        </w:tc>
        <w:tc>
          <w:tcPr>
            <w:tcW w:w="1131" w:type="dxa"/>
            <w:tcBorders>
              <w:top w:val="nil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539" w:type="dxa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vysokoškolské vzdělání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9 658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bakalářské vzdělání</w:t>
            </w:r>
          </w:p>
        </w:tc>
        <w:tc>
          <w:tcPr>
            <w:tcW w:w="1131" w:type="dxa"/>
            <w:tcBorders>
              <w:top w:val="dotted" w:sz="4" w:space="0" w:color="auto"/>
              <w:left w:val="double" w:sz="6" w:space="0" w:color="000000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3 279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magisterské vzdělání</w:t>
            </w:r>
          </w:p>
        </w:tc>
        <w:tc>
          <w:tcPr>
            <w:tcW w:w="1131" w:type="dxa"/>
            <w:tcBorders>
              <w:top w:val="dotted" w:sz="4" w:space="0" w:color="auto"/>
              <w:left w:val="double" w:sz="6" w:space="0" w:color="000000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6 318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00"/>
        </w:trPr>
        <w:tc>
          <w:tcPr>
            <w:tcW w:w="426" w:type="dxa"/>
            <w:tcBorders>
              <w:top w:val="nil"/>
              <w:left w:val="double" w:sz="6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    doktorské vzdělání</w:t>
            </w:r>
          </w:p>
        </w:tc>
        <w:tc>
          <w:tcPr>
            <w:tcW w:w="1131" w:type="dxa"/>
            <w:tcBorders>
              <w:top w:val="dotted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4539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vzdělání nezadáno</w:t>
            </w:r>
          </w:p>
        </w:tc>
        <w:tc>
          <w:tcPr>
            <w:tcW w:w="1131" w:type="dxa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</w:tbl>
    <w:p w:rsidR="00754A4C" w:rsidRDefault="00754A4C">
      <w:r>
        <w:br w:type="page"/>
      </w:r>
    </w:p>
    <w:tbl>
      <w:tblPr>
        <w:tblW w:w="15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72"/>
        <w:gridCol w:w="706"/>
        <w:gridCol w:w="1134"/>
        <w:gridCol w:w="1276"/>
        <w:gridCol w:w="189"/>
        <w:gridCol w:w="807"/>
        <w:gridCol w:w="992"/>
        <w:gridCol w:w="382"/>
        <w:gridCol w:w="1096"/>
        <w:gridCol w:w="796"/>
        <w:gridCol w:w="916"/>
        <w:gridCol w:w="2232"/>
      </w:tblGrid>
      <w:tr w:rsidR="00965CFC" w:rsidRPr="00E17942" w:rsidTr="00754A4C">
        <w:trPr>
          <w:trHeight w:val="227"/>
        </w:trPr>
        <w:tc>
          <w:tcPr>
            <w:tcW w:w="7655" w:type="dxa"/>
            <w:gridSpan w:val="5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lastRenderedPageBreak/>
              <w:t xml:space="preserve">Podle CZ-ISCO 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1 CZ-ISCO Zákonodárci a řídící pracovníci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0,79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2 CZ-ISCO Specialisté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14 293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6,69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3 CZ-ISCO Techničtí a odborní pracovníci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12 559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5,87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4 CZ-ISCO Úředníci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6 782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5 CZ-ISCO Pracovníci ve službách a prodeji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25 873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6 CZ-ISCO Kvalifik. prac. v zem., les. a ryb.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0,79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7 CZ-ISCO Řemeslníci a opraváři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43 851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20,51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8 CZ-ISCO Obsluha strojů a zařízení, montéři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56 816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26,58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9 CZ-ISCO Pomocní a nekvalifikovaní pracovníci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49 889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23,34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4539" w:type="dxa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  tř. 0 CZ-ISCO Zaměstnanci v ozbrojených silách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6379" w:type="dxa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Podle klasifkace CZ-NACE (ekonomická činnost)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abs. počty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podíl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A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Zemědělství, lesnictví, rybářství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2,48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B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Těžba a dobývání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0,23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C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Zpracovatelský průmysl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50 501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23,62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Výroba a rozvod elektřiny, plynu, tepla a klimatiz. vzduchu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E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Zásobování vodou; činnosti související s odpady a sanacemi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0,45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F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Stavebnictví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13 478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6,30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G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Velkoobchod a maloobchod; opravy a údržba mot</w:t>
            </w:r>
            <w:r w:rsidR="00754A4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vozidel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14 134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6,61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H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Doprava a skladování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Ubytování, stravování a pohostinství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4 471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J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Informační a komunikační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Peněžnictví a pojišťovnictví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0,28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L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Činnosti v oblasti nemovitostí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1,85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Profesní, vědecké a technické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2,53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754A4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Administrativní a podpůrné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9 241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4,32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Veřejná správa a obrana; povinné sociální zabezpečení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1,35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Vzdělávání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Q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Zdravotní a sociální péče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5 880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2,75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Kulturní, zábavní a rekreační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0,39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0,81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Činnosti domácností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179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Činnosti exteritoriálních organizací a orgánů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227"/>
        </w:trPr>
        <w:tc>
          <w:tcPr>
            <w:tcW w:w="5245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NEZJIŠTĚNO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79 770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E1794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37,31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965CFC" w:rsidRPr="00E17942" w:rsidTr="00754A4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CFC" w:rsidRPr="00E17942" w:rsidRDefault="00965CFC" w:rsidP="00965CF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0E0C7B" w:rsidRDefault="000E0C7B" w:rsidP="00965CFC">
      <w:pPr>
        <w:ind w:left="-426"/>
      </w:pPr>
    </w:p>
    <w:sectPr w:rsidR="000E0C7B" w:rsidSect="00965CFC">
      <w:headerReference w:type="default" r:id="rId13"/>
      <w:footerReference w:type="default" r:id="rId14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4C" w:rsidRDefault="00754A4C" w:rsidP="00754A4C">
      <w:pPr>
        <w:spacing w:line="240" w:lineRule="auto"/>
      </w:pPr>
      <w:r>
        <w:separator/>
      </w:r>
    </w:p>
  </w:endnote>
  <w:endnote w:type="continuationSeparator" w:id="0">
    <w:p w:rsidR="00754A4C" w:rsidRDefault="00754A4C" w:rsidP="00754A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obyeejné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791767"/>
      <w:docPartObj>
        <w:docPartGallery w:val="Page Numbers (Bottom of Page)"/>
        <w:docPartUnique/>
      </w:docPartObj>
    </w:sdtPr>
    <w:sdtContent>
      <w:p w:rsidR="00A54C02" w:rsidRDefault="00A54C02">
        <w:pPr>
          <w:pStyle w:val="Zpat"/>
          <w:jc w:val="center"/>
        </w:pPr>
        <w:r w:rsidRPr="00A54C02">
          <w:rPr>
            <w:sz w:val="20"/>
          </w:rPr>
          <w:fldChar w:fldCharType="begin"/>
        </w:r>
        <w:r w:rsidRPr="00A54C02">
          <w:rPr>
            <w:sz w:val="20"/>
          </w:rPr>
          <w:instrText>PAGE   \* MERGEFORMAT</w:instrText>
        </w:r>
        <w:r w:rsidRPr="00A54C02">
          <w:rPr>
            <w:sz w:val="20"/>
          </w:rPr>
          <w:fldChar w:fldCharType="separate"/>
        </w:r>
        <w:r>
          <w:rPr>
            <w:noProof/>
            <w:sz w:val="20"/>
          </w:rPr>
          <w:t>7</w:t>
        </w:r>
        <w:r w:rsidRPr="00A54C02">
          <w:rPr>
            <w:sz w:val="20"/>
          </w:rPr>
          <w:fldChar w:fldCharType="end"/>
        </w:r>
      </w:p>
    </w:sdtContent>
  </w:sdt>
  <w:p w:rsidR="00A54C02" w:rsidRDefault="00A54C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4C" w:rsidRDefault="00754A4C" w:rsidP="00754A4C">
      <w:pPr>
        <w:spacing w:line="240" w:lineRule="auto"/>
      </w:pPr>
      <w:r>
        <w:separator/>
      </w:r>
    </w:p>
  </w:footnote>
  <w:footnote w:type="continuationSeparator" w:id="0">
    <w:p w:rsidR="00754A4C" w:rsidRDefault="00754A4C" w:rsidP="00754A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A4C" w:rsidRPr="00754A4C" w:rsidRDefault="00754A4C" w:rsidP="00754A4C">
    <w:pPr>
      <w:pStyle w:val="Zhlav"/>
      <w:jc w:val="right"/>
      <w:rPr>
        <w:sz w:val="20"/>
        <w:szCs w:val="20"/>
      </w:rPr>
    </w:pPr>
    <w:r>
      <w:rPr>
        <w:sz w:val="20"/>
        <w:szCs w:val="20"/>
      </w:rPr>
      <w:t>Příloha č. 1 k Aktualizaci Strategie politiky zaměstnanosti do roku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0D49"/>
    <w:multiLevelType w:val="hybridMultilevel"/>
    <w:tmpl w:val="B2202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FC"/>
    <w:rsid w:val="000E0C7B"/>
    <w:rsid w:val="001A60FA"/>
    <w:rsid w:val="003A1096"/>
    <w:rsid w:val="00754A4C"/>
    <w:rsid w:val="008523B5"/>
    <w:rsid w:val="008C0148"/>
    <w:rsid w:val="00965CFC"/>
    <w:rsid w:val="00A54C02"/>
    <w:rsid w:val="00C44BFF"/>
    <w:rsid w:val="00CD4E07"/>
    <w:rsid w:val="00E17942"/>
    <w:rsid w:val="00E41A84"/>
    <w:rsid w:val="00F0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5C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5C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A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A4C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754A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A4C"/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754A4C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A4C"/>
    <w:pPr>
      <w:widowControl w:val="0"/>
      <w:autoSpaceDE w:val="0"/>
      <w:autoSpaceDN w:val="0"/>
      <w:spacing w:line="240" w:lineRule="auto"/>
      <w:jc w:val="left"/>
    </w:pPr>
    <w:rPr>
      <w:rFonts w:ascii="Times New Roman CE obyeejné" w:eastAsia="Times New Roman" w:hAnsi="Times New Roman CE obyeejné" w:cs="Times New Roman CE obyeejné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A4C"/>
    <w:rPr>
      <w:rFonts w:ascii="Times New Roman CE obyeejné" w:eastAsia="Times New Roman" w:hAnsi="Times New Roman CE obyeejné" w:cs="Times New Roman CE obyeejné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54A4C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uiPriority w:val="34"/>
    <w:qFormat/>
    <w:rsid w:val="00A54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5C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5C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A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A4C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754A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A4C"/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754A4C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A4C"/>
    <w:pPr>
      <w:widowControl w:val="0"/>
      <w:autoSpaceDE w:val="0"/>
      <w:autoSpaceDN w:val="0"/>
      <w:spacing w:line="240" w:lineRule="auto"/>
      <w:jc w:val="left"/>
    </w:pPr>
    <w:rPr>
      <w:rFonts w:ascii="Times New Roman CE obyeejné" w:eastAsia="Times New Roman" w:hAnsi="Times New Roman CE obyeejné" w:cs="Times New Roman CE obyeejné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A4C"/>
    <w:rPr>
      <w:rFonts w:ascii="Times New Roman CE obyeejné" w:eastAsia="Times New Roman" w:hAnsi="Times New Roman CE obyeejné" w:cs="Times New Roman CE obyeejné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54A4C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uiPriority w:val="34"/>
    <w:qFormat/>
    <w:rsid w:val="00A54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01\Dudek%20Pavel\=Strategie=\=MPSV=\Strategie%20politiky%20zam&#283;stnanosti\2017_Aktualizace%20SPZ%202020\P1_Struktura%20UoZ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01\Dudek%20Pavel\=Strategie=\=MPSV=\Strategie%20politiky%20zam&#283;stnanosti\2017_Aktualizace%20SPZ%202020\P1_Struktura%20UoZ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01\Dudek%20Pavel\=Strategie=\=MPSV=\Strategie%20politiky%20zam&#283;stnanosti\2017_Aktualizace%20SPZ%202020\P1_Struktura%20UoZ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01\Dudek%20Pavel\=Strategie=\=MPSV=\Strategie%20politiky%20zam&#283;stnanosti\2017_Aktualizace%20SPZ%202020\P1_Struktura%20UoZ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01\Dudek%20Pavel\=Strategie=\=MPSV=\Strategie%20politiky%20zam&#283;stnanosti\2017_Aktualizace%20SPZ%202020\P1_Struktura%20UoZ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800"/>
              <a:t>Struktura OZP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dPt>
            <c:idx val="3"/>
            <c:bubble3D val="0"/>
            <c:spPr>
              <a:pattFill prst="narHorz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narHorz">
                <a:fgClr>
                  <a:schemeClr val="accent2"/>
                </a:fgClr>
                <a:bgClr>
                  <a:schemeClr val="bg1"/>
                </a:bgClr>
              </a:pattFill>
              <a:ln>
                <a:solidFill>
                  <a:schemeClr val="accent2"/>
                </a:solidFill>
              </a:ln>
            </c:spPr>
          </c:dPt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spPr>
              <a:solidFill>
                <a:schemeClr val="bg1">
                  <a:alpha val="67000"/>
                </a:schemeClr>
              </a:solidFill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List1!$B$8:$B$14</c:f>
              <c:strCache>
                <c:ptCount val="7"/>
                <c:pt idx="0">
                  <c:v>plně invalidní</c:v>
                </c:pt>
                <c:pt idx="1">
                  <c:v>částečně invalidní</c:v>
                </c:pt>
                <c:pt idx="2">
                  <c:v>os. zdrav. znevýhodn.</c:v>
                </c:pt>
                <c:pt idx="3">
                  <c:v>1. st. inval (§39/2a)</c:v>
                </c:pt>
                <c:pt idx="4">
                  <c:v>2. st. inval. (§39/2b)</c:v>
                </c:pt>
                <c:pt idx="5">
                  <c:v>3. st. inval. (§39/2c)</c:v>
                </c:pt>
                <c:pt idx="6">
                  <c:v>3. st. inval. (§39/2c), §39/4f)</c:v>
                </c:pt>
              </c:strCache>
            </c:strRef>
          </c:cat>
          <c:val>
            <c:numRef>
              <c:f>List1!$C$8:$C$14</c:f>
              <c:numCache>
                <c:formatCode>#,##0</c:formatCode>
                <c:ptCount val="7"/>
                <c:pt idx="0">
                  <c:v>2</c:v>
                </c:pt>
                <c:pt idx="1">
                  <c:v>22</c:v>
                </c:pt>
                <c:pt idx="2">
                  <c:v>5586</c:v>
                </c:pt>
                <c:pt idx="3">
                  <c:v>26196</c:v>
                </c:pt>
                <c:pt idx="4">
                  <c:v>13499</c:v>
                </c:pt>
                <c:pt idx="5">
                  <c:v>89</c:v>
                </c:pt>
                <c:pt idx="6">
                  <c:v>132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b"/>
      <c:layout>
        <c:manualLayout>
          <c:xMode val="edge"/>
          <c:yMode val="edge"/>
          <c:x val="1.0826045268326699E-2"/>
          <c:y val="0.77003900932168845"/>
          <c:w val="0.97178250744207728"/>
          <c:h val="0.20218300369668227"/>
        </c:manualLayout>
      </c:layout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800" b="1"/>
              <a:t>Věková struktura UoZ k 30. listopadu 2017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3"/>
              </a:solidFill>
            </c:spPr>
          </c:dPt>
          <c:dPt>
            <c:idx val="1"/>
            <c:bubble3D val="0"/>
            <c:spPr>
              <a:pattFill prst="narVert">
                <a:fgClr>
                  <a:srgbClr val="0070C0"/>
                </a:fgClr>
                <a:bgClr>
                  <a:schemeClr val="bg1"/>
                </a:bgClr>
              </a:pattFill>
              <a:ln>
                <a:solidFill>
                  <a:schemeClr val="accent1"/>
                </a:solidFill>
              </a:ln>
            </c:spPr>
          </c:dPt>
          <c:dPt>
            <c:idx val="2"/>
            <c:bubble3D val="0"/>
            <c:spPr>
              <a:pattFill prst="narHorz">
                <a:fgClr>
                  <a:schemeClr val="accent2"/>
                </a:fgClr>
                <a:bgClr>
                  <a:schemeClr val="bg1"/>
                </a:bgClr>
              </a:pattFill>
              <a:ln>
                <a:solidFill>
                  <a:schemeClr val="accent2"/>
                </a:solidFill>
              </a:ln>
            </c:spPr>
          </c:dPt>
          <c:dLbls>
            <c:spPr>
              <a:solidFill>
                <a:schemeClr val="bg1">
                  <a:alpha val="67000"/>
                </a:schemeClr>
              </a:solidFill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(List1!$A$25,List1!$A$28,List1!$A$34)</c:f>
              <c:strCache>
                <c:ptCount val="3"/>
                <c:pt idx="0">
                  <c:v>do 25 let</c:v>
                </c:pt>
                <c:pt idx="1">
                  <c:v>25 - 50 let</c:v>
                </c:pt>
                <c:pt idx="2">
                  <c:v>nad 50 let</c:v>
                </c:pt>
              </c:strCache>
            </c:strRef>
          </c:cat>
          <c:val>
            <c:numRef>
              <c:f>(List1!$C$25,List1!$C$28,List1!$C$34)</c:f>
              <c:numCache>
                <c:formatCode>#,##0</c:formatCode>
                <c:ptCount val="3"/>
                <c:pt idx="0">
                  <c:v>31588</c:v>
                </c:pt>
                <c:pt idx="1">
                  <c:v>136716</c:v>
                </c:pt>
                <c:pt idx="2">
                  <c:v>97165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b"/>
      <c:layout>
        <c:manualLayout>
          <c:xMode val="edge"/>
          <c:yMode val="edge"/>
          <c:x val="0.17547002038377682"/>
          <c:y val="0.87620884637742424"/>
          <c:w val="0.6490599592324463"/>
          <c:h val="9.6945516038683066E-2"/>
        </c:manualLayout>
      </c:layout>
      <c:overlay val="0"/>
      <c:txPr>
        <a:bodyPr/>
        <a:lstStyle/>
        <a:p>
          <a:pPr rtl="0">
            <a:defRPr sz="800"/>
          </a:pPr>
          <a:endParaRPr lang="cs-CZ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cs-CZ" sz="800"/>
              <a:t>Struktura UoZ podle zaměstnání 30. listopadu 2017 dle CZ-ISCO v tisících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7489361380259744"/>
          <c:y val="0.19543290934786997"/>
          <c:w val="0.76309877691801498"/>
          <c:h val="0.7594388855239249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List1!$A$67:$A$77</c:f>
              <c:strCache>
                <c:ptCount val="11"/>
                <c:pt idx="0">
                  <c:v>tř. 1 </c:v>
                </c:pt>
                <c:pt idx="1">
                  <c:v>tř. 2 </c:v>
                </c:pt>
                <c:pt idx="2">
                  <c:v>tř. 3 </c:v>
                </c:pt>
                <c:pt idx="3">
                  <c:v>tř. 4</c:v>
                </c:pt>
                <c:pt idx="4">
                  <c:v>tř. 5</c:v>
                </c:pt>
                <c:pt idx="5">
                  <c:v>tř. 6 </c:v>
                </c:pt>
                <c:pt idx="6">
                  <c:v>tř. 7 </c:v>
                </c:pt>
                <c:pt idx="7">
                  <c:v>tř. 8 </c:v>
                </c:pt>
                <c:pt idx="8">
                  <c:v>tř. 9 </c:v>
                </c:pt>
                <c:pt idx="9">
                  <c:v>tř. 0 </c:v>
                </c:pt>
                <c:pt idx="10">
                  <c:v>neuvedeno</c:v>
                </c:pt>
              </c:strCache>
            </c:strRef>
          </c:cat>
          <c:val>
            <c:numRef>
              <c:f>List1!$B$67:$B$77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invertIfNegative val="0"/>
          <c:cat>
            <c:strRef>
              <c:f>List1!$A$67:$A$77</c:f>
              <c:strCache>
                <c:ptCount val="11"/>
                <c:pt idx="0">
                  <c:v>tř. 1 </c:v>
                </c:pt>
                <c:pt idx="1">
                  <c:v>tř. 2 </c:v>
                </c:pt>
                <c:pt idx="2">
                  <c:v>tř. 3 </c:v>
                </c:pt>
                <c:pt idx="3">
                  <c:v>tř. 4</c:v>
                </c:pt>
                <c:pt idx="4">
                  <c:v>tř. 5</c:v>
                </c:pt>
                <c:pt idx="5">
                  <c:v>tř. 6 </c:v>
                </c:pt>
                <c:pt idx="6">
                  <c:v>tř. 7 </c:v>
                </c:pt>
                <c:pt idx="7">
                  <c:v>tř. 8 </c:v>
                </c:pt>
                <c:pt idx="8">
                  <c:v>tř. 9 </c:v>
                </c:pt>
                <c:pt idx="9">
                  <c:v>tř. 0 </c:v>
                </c:pt>
                <c:pt idx="10">
                  <c:v>neuvedeno</c:v>
                </c:pt>
              </c:strCache>
            </c:strRef>
          </c:cat>
          <c:val>
            <c:numRef>
              <c:f>List1!$C$67:$C$77</c:f>
              <c:numCache>
                <c:formatCode>#,##0</c:formatCode>
                <c:ptCount val="11"/>
                <c:pt idx="0">
                  <c:v>3449</c:v>
                </c:pt>
                <c:pt idx="1">
                  <c:v>13448</c:v>
                </c:pt>
                <c:pt idx="2">
                  <c:v>18306</c:v>
                </c:pt>
                <c:pt idx="3">
                  <c:v>31727</c:v>
                </c:pt>
                <c:pt idx="4">
                  <c:v>56251</c:v>
                </c:pt>
                <c:pt idx="5">
                  <c:v>2697</c:v>
                </c:pt>
                <c:pt idx="6">
                  <c:v>27076</c:v>
                </c:pt>
                <c:pt idx="7">
                  <c:v>24065</c:v>
                </c:pt>
                <c:pt idx="8">
                  <c:v>81786</c:v>
                </c:pt>
                <c:pt idx="9">
                  <c:v>106</c:v>
                </c:pt>
                <c:pt idx="10">
                  <c:v>6558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617600"/>
        <c:axId val="209508224"/>
      </c:barChart>
      <c:catAx>
        <c:axId val="180617600"/>
        <c:scaling>
          <c:orientation val="maxMin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209508224"/>
        <c:crosses val="autoZero"/>
        <c:auto val="1"/>
        <c:lblAlgn val="ctr"/>
        <c:lblOffset val="100"/>
        <c:noMultiLvlLbl val="0"/>
      </c:catAx>
      <c:valAx>
        <c:axId val="209508224"/>
        <c:scaling>
          <c:orientation val="minMax"/>
          <c:max val="85000"/>
          <c:min val="0"/>
        </c:scaling>
        <c:delete val="0"/>
        <c:axPos val="t"/>
        <c:majorGridlines/>
        <c:min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0617600"/>
        <c:crosses val="autoZero"/>
        <c:crossBetween val="between"/>
        <c:majorUnit val="10000"/>
        <c:minorUnit val="5000"/>
        <c:dispUnits>
          <c:builtInUnit val="thousands"/>
        </c:dispUnits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cs-CZ" sz="800"/>
              <a:t>Struktura UoZ podle délky evidencek 30. listopadu 2017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</c:spPr>
          </c:dPt>
          <c:dPt>
            <c:idx val="1"/>
            <c:bubble3D val="0"/>
            <c:spPr>
              <a:pattFill prst="pct50">
                <a:fgClr>
                  <a:schemeClr val="accent3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spPr>
              <a:pattFill prst="ltHorz">
                <a:fgClr>
                  <a:schemeClr val="accent1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Pt>
            <c:idx val="3"/>
            <c:bubble3D val="0"/>
            <c:spPr>
              <a:pattFill prst="narHorz">
                <a:fgClr>
                  <a:schemeClr val="accent1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ltVert">
                <a:fgClr>
                  <a:schemeClr val="accent2"/>
                </a:fgClr>
                <a:bgClr>
                  <a:schemeClr val="bg1"/>
                </a:bgClr>
              </a:pattFill>
            </c:spPr>
          </c:dPt>
          <c:dPt>
            <c:idx val="5"/>
            <c:bubble3D val="0"/>
            <c:spPr>
              <a:pattFill prst="narVert">
                <a:fgClr>
                  <a:schemeClr val="accent2"/>
                </a:fgClr>
                <a:bgClr>
                  <a:schemeClr val="bg1"/>
                </a:bgClr>
              </a:pattFill>
            </c:spPr>
          </c:dPt>
          <c:dLbls>
            <c:dLbl>
              <c:idx val="3"/>
              <c:layout>
                <c:manualLayout>
                  <c:x val="6.0673178316053601E-2"/>
                  <c:y val="-6.758384368620588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pPr>
              <a:solidFill>
                <a:schemeClr val="bg1">
                  <a:alpha val="67000"/>
                </a:schemeClr>
              </a:solidFill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(List1!$B$84:$B$87,List1!$B$89:$B$90)</c:f>
              <c:strCache>
                <c:ptCount val="6"/>
                <c:pt idx="0">
                  <c:v>    do 3 měsíců</c:v>
                </c:pt>
                <c:pt idx="1">
                  <c:v>    3 - 6 měsíců</c:v>
                </c:pt>
                <c:pt idx="2">
                  <c:v>    6 - 9 měsíců</c:v>
                </c:pt>
                <c:pt idx="3">
                  <c:v>    9 - 12 měsíců</c:v>
                </c:pt>
                <c:pt idx="4">
                  <c:v>   12 - 24 měsíců</c:v>
                </c:pt>
                <c:pt idx="5">
                  <c:v>    nad 24 měsíce</c:v>
                </c:pt>
              </c:strCache>
            </c:strRef>
          </c:cat>
          <c:val>
            <c:numRef>
              <c:f>(List1!$C$84:$C$87,List1!$C$89:$C$90)</c:f>
              <c:numCache>
                <c:formatCode>#,##0</c:formatCode>
                <c:ptCount val="6"/>
                <c:pt idx="0">
                  <c:v>88963</c:v>
                </c:pt>
                <c:pt idx="1">
                  <c:v>39774</c:v>
                </c:pt>
                <c:pt idx="2">
                  <c:v>24299</c:v>
                </c:pt>
                <c:pt idx="3">
                  <c:v>15929</c:v>
                </c:pt>
                <c:pt idx="4">
                  <c:v>29467</c:v>
                </c:pt>
                <c:pt idx="5">
                  <c:v>67037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b"/>
      <c:layout/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186200862823182"/>
          <c:y val="2.4202420242024202E-2"/>
          <c:w val="0.42321833482154936"/>
          <c:h val="0.8586345807897608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List1!$B$46</c:f>
              <c:strCache>
                <c:ptCount val="1"/>
                <c:pt idx="0">
                  <c:v>    bez vzdělání</c:v>
                </c:pt>
              </c:strCache>
            </c:strRef>
          </c:tx>
          <c:spPr>
            <a:pattFill prst="dkUpDiag">
              <a:fgClr>
                <a:srgbClr val="FF0000"/>
              </a:fgClr>
              <a:bgClr>
                <a:schemeClr val="bg1"/>
              </a:bgClr>
            </a:pattFill>
            <a:ln>
              <a:solidFill>
                <a:srgbClr val="FF0000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(List1!$C$46,List1!$C$131)</c:f>
              <c:numCache>
                <c:formatCode>#,##0</c:formatCode>
                <c:ptCount val="2"/>
                <c:pt idx="0">
                  <c:v>8505</c:v>
                </c:pt>
                <c:pt idx="1">
                  <c:v>7043</c:v>
                </c:pt>
              </c:numCache>
            </c:numRef>
          </c:val>
        </c:ser>
        <c:ser>
          <c:idx val="1"/>
          <c:order val="1"/>
          <c:tx>
            <c:strRef>
              <c:f>List1!$B$47</c:f>
              <c:strCache>
                <c:ptCount val="1"/>
                <c:pt idx="0">
                  <c:v>    neúplné zákl. vzdělání</c:v>
                </c:pt>
              </c:strCache>
            </c:strRef>
          </c:tx>
          <c:spPr>
            <a:pattFill prst="wdUpDiag">
              <a:fgClr>
                <a:srgbClr val="FF0000"/>
              </a:fgClr>
              <a:bgClr>
                <a:schemeClr val="bg1"/>
              </a:bgClr>
            </a:pattFill>
            <a:ln>
              <a:solidFill>
                <a:srgbClr val="FF0000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(List1!$C$47,List1!$C$132)</c:f>
              <c:numCache>
                <c:formatCode>#,##0</c:formatCode>
                <c:ptCount val="2"/>
                <c:pt idx="0">
                  <c:v>2469</c:v>
                </c:pt>
                <c:pt idx="1">
                  <c:v>414</c:v>
                </c:pt>
              </c:numCache>
            </c:numRef>
          </c:val>
        </c:ser>
        <c:ser>
          <c:idx val="2"/>
          <c:order val="2"/>
          <c:tx>
            <c:strRef>
              <c:f>List1!$B$48</c:f>
              <c:strCache>
                <c:ptCount val="1"/>
                <c:pt idx="0">
                  <c:v>    základní vzdělání</c:v>
                </c:pt>
              </c:strCache>
            </c:strRef>
          </c:tx>
          <c:spPr>
            <a:pattFill prst="ltUpDiag">
              <a:fgClr>
                <a:srgbClr val="FF0000"/>
              </a:fgClr>
              <a:bgClr>
                <a:schemeClr val="bg1"/>
              </a:bgClr>
            </a:pattFill>
            <a:ln>
              <a:solidFill>
                <a:srgbClr val="FF0000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(List1!$C$48,List1!$C$133)</c:f>
              <c:numCache>
                <c:formatCode>#,##0</c:formatCode>
                <c:ptCount val="2"/>
                <c:pt idx="0">
                  <c:v>72692</c:v>
                </c:pt>
                <c:pt idx="1">
                  <c:v>112826</c:v>
                </c:pt>
              </c:numCache>
            </c:numRef>
          </c:val>
        </c:ser>
        <c:ser>
          <c:idx val="3"/>
          <c:order val="3"/>
          <c:tx>
            <c:strRef>
              <c:f>List1!$B$50</c:f>
              <c:strCache>
                <c:ptCount val="1"/>
                <c:pt idx="0">
                  <c:v>    nižší střední vzdělání</c:v>
                </c:pt>
              </c:strCache>
            </c:strRef>
          </c:tx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(List1!$C$50,List1!$C$135)</c:f>
              <c:numCache>
                <c:formatCode>#,##0</c:formatCode>
                <c:ptCount val="2"/>
                <c:pt idx="0">
                  <c:v>163</c:v>
                </c:pt>
                <c:pt idx="1">
                  <c:v>1977</c:v>
                </c:pt>
              </c:numCache>
            </c:numRef>
          </c:val>
        </c:ser>
        <c:ser>
          <c:idx val="4"/>
          <c:order val="4"/>
          <c:tx>
            <c:strRef>
              <c:f>List1!$B$51</c:f>
              <c:strCache>
                <c:ptCount val="1"/>
                <c:pt idx="0">
                  <c:v>    nižší střední odborné vzdělání</c:v>
                </c:pt>
              </c:strCache>
            </c:strRef>
          </c:tx>
          <c:spPr>
            <a:pattFill prst="pct50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(List1!$C$51,List1!$C$136)</c:f>
              <c:numCache>
                <c:formatCode>#,##0</c:formatCode>
                <c:ptCount val="2"/>
                <c:pt idx="0">
                  <c:v>6754</c:v>
                </c:pt>
                <c:pt idx="1">
                  <c:v>11671</c:v>
                </c:pt>
              </c:numCache>
            </c:numRef>
          </c:val>
        </c:ser>
        <c:ser>
          <c:idx val="5"/>
          <c:order val="5"/>
          <c:tx>
            <c:strRef>
              <c:f>List1!$B$52</c:f>
              <c:strCache>
                <c:ptCount val="1"/>
                <c:pt idx="0">
                  <c:v>    střední odborné vzdělání s výuč.listem</c:v>
                </c:pt>
              </c:strCache>
            </c:strRef>
          </c:tx>
          <c:spPr>
            <a:pattFill prst="pct20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(List1!$C$52,List1!$C$137)</c:f>
              <c:numCache>
                <c:formatCode>#,##0</c:formatCode>
                <c:ptCount val="2"/>
                <c:pt idx="0">
                  <c:v>91248</c:v>
                </c:pt>
                <c:pt idx="1">
                  <c:v>46353</c:v>
                </c:pt>
              </c:numCache>
            </c:numRef>
          </c:val>
        </c:ser>
        <c:ser>
          <c:idx val="6"/>
          <c:order val="6"/>
          <c:tx>
            <c:strRef>
              <c:f>List1!$B$53</c:f>
              <c:strCache>
                <c:ptCount val="1"/>
                <c:pt idx="0">
                  <c:v>    stř.nebo stř.odb. bez mat.i výuč.listu</c:v>
                </c:pt>
              </c:strCache>
            </c:strRef>
          </c:tx>
          <c:spPr>
            <a:pattFill prst="pct5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(List1!$C$53,List1!$C$139)</c:f>
              <c:numCache>
                <c:formatCode>#,##0</c:formatCode>
                <c:ptCount val="2"/>
                <c:pt idx="0">
                  <c:v>1474</c:v>
                </c:pt>
                <c:pt idx="1">
                  <c:v>5445</c:v>
                </c:pt>
              </c:numCache>
            </c:numRef>
          </c:val>
        </c:ser>
        <c:ser>
          <c:idx val="7"/>
          <c:order val="7"/>
          <c:tx>
            <c:strRef>
              <c:f>List1!$B$54</c:f>
              <c:strCache>
                <c:ptCount val="1"/>
                <c:pt idx="0">
                  <c:v>    ÚSV </c:v>
                </c:pt>
              </c:strCache>
            </c:strRef>
          </c:tx>
          <c:spPr>
            <a:pattFill prst="pct30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(List1!$C$54,List1!$C$139)</c:f>
              <c:numCache>
                <c:formatCode>#,##0</c:formatCode>
                <c:ptCount val="2"/>
                <c:pt idx="0">
                  <c:v>7447</c:v>
                </c:pt>
                <c:pt idx="1">
                  <c:v>5445</c:v>
                </c:pt>
              </c:numCache>
            </c:numRef>
          </c:val>
        </c:ser>
        <c:ser>
          <c:idx val="8"/>
          <c:order val="8"/>
          <c:tx>
            <c:strRef>
              <c:f>List1!$B$55</c:f>
              <c:strCache>
                <c:ptCount val="1"/>
                <c:pt idx="0">
                  <c:v>    ÚSO s vyučením i maturitou</c:v>
                </c:pt>
              </c:strCache>
            </c:strRef>
          </c:tx>
          <c:spPr>
            <a:pattFill prst="pct5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(List1!$C$55,List1!$C$140)</c:f>
              <c:numCache>
                <c:formatCode>#,##0</c:formatCode>
                <c:ptCount val="2"/>
                <c:pt idx="0">
                  <c:v>11283</c:v>
                </c:pt>
                <c:pt idx="1">
                  <c:v>4496</c:v>
                </c:pt>
              </c:numCache>
            </c:numRef>
          </c:val>
        </c:ser>
        <c:ser>
          <c:idx val="9"/>
          <c:order val="9"/>
          <c:tx>
            <c:strRef>
              <c:f>List1!$B$56</c:f>
              <c:strCache>
                <c:ptCount val="1"/>
                <c:pt idx="0">
                  <c:v>    ÚSO s maturitou (bez vyučení)</c:v>
                </c:pt>
              </c:strCache>
            </c:strRef>
          </c:tx>
          <c:spPr>
            <a:pattFill prst="pct40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(List1!$C$56,List1!$C$141)</c:f>
              <c:numCache>
                <c:formatCode>#,##0</c:formatCode>
                <c:ptCount val="2"/>
                <c:pt idx="0">
                  <c:v>41037</c:v>
                </c:pt>
                <c:pt idx="1">
                  <c:v>10424</c:v>
                </c:pt>
              </c:numCache>
            </c:numRef>
          </c:val>
        </c:ser>
        <c:ser>
          <c:idx val="10"/>
          <c:order val="10"/>
          <c:tx>
            <c:strRef>
              <c:f>List1!$B$57</c:f>
              <c:strCache>
                <c:ptCount val="1"/>
                <c:pt idx="0">
                  <c:v>    vyšší odborné vzdělání</c:v>
                </c:pt>
              </c:strCache>
            </c:strRef>
          </c:tx>
          <c:spPr>
            <a:pattFill prst="pct90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(List1!$C$57,List1!$C$142)</c:f>
              <c:numCache>
                <c:formatCode>#,##0</c:formatCode>
                <c:ptCount val="2"/>
                <c:pt idx="0">
                  <c:v>2312</c:v>
                </c:pt>
                <c:pt idx="1">
                  <c:v>1704</c:v>
                </c:pt>
              </c:numCache>
            </c:numRef>
          </c:val>
        </c:ser>
        <c:ser>
          <c:idx val="11"/>
          <c:order val="11"/>
          <c:tx>
            <c:strRef>
              <c:f>List1!$B$59</c:f>
              <c:strCache>
                <c:ptCount val="1"/>
                <c:pt idx="0">
                  <c:v>    bakalářské vzdělání</c:v>
                </c:pt>
              </c:strCache>
            </c:strRef>
          </c:tx>
          <c:spPr>
            <a:pattFill prst="dkVert">
              <a:fgClr>
                <a:schemeClr val="accent3"/>
              </a:fgClr>
              <a:bgClr>
                <a:schemeClr val="bg1"/>
              </a:bgClr>
            </a:pattFill>
            <a:ln>
              <a:solidFill>
                <a:schemeClr val="accent3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(List1!$C$59,List1!$C$144)</c:f>
              <c:numCache>
                <c:formatCode>#,##0</c:formatCode>
                <c:ptCount val="2"/>
                <c:pt idx="0">
                  <c:v>4946</c:v>
                </c:pt>
                <c:pt idx="1">
                  <c:v>3279</c:v>
                </c:pt>
              </c:numCache>
            </c:numRef>
          </c:val>
        </c:ser>
        <c:ser>
          <c:idx val="12"/>
          <c:order val="12"/>
          <c:tx>
            <c:strRef>
              <c:f>List1!$B$60</c:f>
              <c:strCache>
                <c:ptCount val="1"/>
                <c:pt idx="0">
                  <c:v>    magisterské vzdělání</c:v>
                </c:pt>
              </c:strCache>
            </c:strRef>
          </c:tx>
          <c:spPr>
            <a:pattFill prst="narVert">
              <a:fgClr>
                <a:schemeClr val="accent3"/>
              </a:fgClr>
              <a:bgClr>
                <a:schemeClr val="bg1"/>
              </a:bgClr>
            </a:pattFill>
            <a:ln>
              <a:solidFill>
                <a:schemeClr val="accent3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(List1!$C$60,List1!$C$145)</c:f>
              <c:numCache>
                <c:formatCode>#,##0</c:formatCode>
                <c:ptCount val="2"/>
                <c:pt idx="0">
                  <c:v>14658</c:v>
                </c:pt>
                <c:pt idx="1">
                  <c:v>6318</c:v>
                </c:pt>
              </c:numCache>
            </c:numRef>
          </c:val>
        </c:ser>
        <c:ser>
          <c:idx val="13"/>
          <c:order val="13"/>
          <c:tx>
            <c:strRef>
              <c:f>List1!$B$61</c:f>
              <c:strCache>
                <c:ptCount val="1"/>
                <c:pt idx="0">
                  <c:v>    doktorské vzdělání</c:v>
                </c:pt>
              </c:strCache>
            </c:strRef>
          </c:tx>
          <c:spPr>
            <a:pattFill prst="trellis">
              <a:fgClr>
                <a:schemeClr val="accent3"/>
              </a:fgClr>
              <a:bgClr>
                <a:schemeClr val="bg1"/>
              </a:bgClr>
            </a:pattFill>
            <a:ln>
              <a:solidFill>
                <a:schemeClr val="accent3"/>
              </a:solidFill>
            </a:ln>
          </c:spPr>
          <c:invertIfNegative val="0"/>
          <c:cat>
            <c:strRef>
              <c:f>(List1!$A$41,List1!$A$129:$D$130)</c:f>
              <c:strCache>
                <c:ptCount val="3"/>
                <c:pt idx="0">
                  <c:v>Vzdělanostní struktura UoZ k 30. 11. 2017</c:v>
                </c:pt>
                <c:pt idx="1">
                  <c:v>Struktura VPM podle vzdělání 30. 11. 2017</c:v>
                </c:pt>
                <c:pt idx="2">
                  <c:v>56,26</c:v>
                </c:pt>
              </c:strCache>
            </c:strRef>
          </c:cat>
          <c:val>
            <c:numRef>
              <c:f>(List1!$C$61,List1!$C$146)</c:f>
              <c:numCache>
                <c:formatCode>#,##0</c:formatCode>
                <c:ptCount val="2"/>
                <c:pt idx="0">
                  <c:v>481</c:v>
                </c:pt>
                <c:pt idx="1">
                  <c:v>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0321664"/>
        <c:axId val="180323456"/>
      </c:barChart>
      <c:catAx>
        <c:axId val="1803216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0323456"/>
        <c:crosses val="autoZero"/>
        <c:auto val="1"/>
        <c:lblAlgn val="ctr"/>
        <c:lblOffset val="100"/>
        <c:noMultiLvlLbl val="0"/>
      </c:catAx>
      <c:valAx>
        <c:axId val="1803234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03216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662353546012929"/>
          <c:y val="2.3998856578571242E-2"/>
          <c:w val="0.34038780204020891"/>
          <c:h val="0.93880096671084434"/>
        </c:manualLayout>
      </c:layout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1692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 Pavel Mgr. (MPSV)</dc:creator>
  <cp:lastModifiedBy>Dudek Pavel Mgr. (MPSV)</cp:lastModifiedBy>
  <cp:revision>1</cp:revision>
  <dcterms:created xsi:type="dcterms:W3CDTF">2018-01-10T13:46:00Z</dcterms:created>
  <dcterms:modified xsi:type="dcterms:W3CDTF">2018-01-10T14:32:00Z</dcterms:modified>
</cp:coreProperties>
</file>