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761A5980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výzvy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31_22_043 </w:t>
      </w:r>
      <w:r>
        <w:rPr>
          <w:caps w:val="0"/>
          <w:color w:val="A6A6A6" w:themeColor="background1" w:themeShade="A6"/>
          <w:sz w:val="32"/>
          <w:szCs w:val="40"/>
        </w:rPr>
        <w:t>a</w:t>
      </w:r>
      <w:r w:rsidRPr="00522999">
        <w:rPr>
          <w:color w:val="A6A6A6" w:themeColor="background1" w:themeShade="A6"/>
          <w:sz w:val="32"/>
          <w:szCs w:val="40"/>
        </w:rPr>
        <w:t xml:space="preserve"> 31_22_4</w:t>
      </w:r>
      <w:r w:rsidR="009974C1">
        <w:rPr>
          <w:color w:val="A6A6A6" w:themeColor="background1" w:themeShade="A6"/>
          <w:sz w:val="32"/>
          <w:szCs w:val="40"/>
        </w:rPr>
        <w:t>5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10425355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77777777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>
        <w:rPr>
          <w:color w:val="A6A6A6" w:themeColor="background1" w:themeShade="A6"/>
          <w:sz w:val="32"/>
          <w:szCs w:val="40"/>
        </w:rPr>
        <w:t>0</w:t>
      </w:r>
    </w:p>
    <w:p w14:paraId="320DFD39" w14:textId="7ADC0785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>
        <w:rPr>
          <w:color w:val="A6A6A6" w:themeColor="background1" w:themeShade="A6"/>
          <w:sz w:val="32"/>
          <w:szCs w:val="40"/>
        </w:rPr>
        <w:t>1</w:t>
      </w:r>
      <w:r w:rsidR="001151CE">
        <w:rPr>
          <w:color w:val="A6A6A6" w:themeColor="background1" w:themeShade="A6"/>
          <w:sz w:val="32"/>
          <w:szCs w:val="40"/>
        </w:rPr>
        <w:t>7</w:t>
      </w:r>
      <w:r>
        <w:rPr>
          <w:color w:val="A6A6A6" w:themeColor="background1" w:themeShade="A6"/>
          <w:sz w:val="32"/>
          <w:szCs w:val="40"/>
        </w:rPr>
        <w:t>.</w:t>
      </w:r>
      <w:r w:rsidRPr="00387409">
        <w:rPr>
          <w:color w:val="A6A6A6" w:themeColor="background1" w:themeShade="A6"/>
          <w:sz w:val="32"/>
          <w:szCs w:val="40"/>
        </w:rPr>
        <w:t xml:space="preserve"> </w:t>
      </w:r>
      <w:r>
        <w:rPr>
          <w:color w:val="A6A6A6" w:themeColor="background1" w:themeShade="A6"/>
          <w:sz w:val="32"/>
          <w:szCs w:val="40"/>
        </w:rPr>
        <w:t xml:space="preserve">3. </w:t>
      </w:r>
      <w:r w:rsidRPr="00387409">
        <w:rPr>
          <w:color w:val="A6A6A6" w:themeColor="background1" w:themeShade="A6"/>
          <w:sz w:val="32"/>
          <w:szCs w:val="40"/>
        </w:rPr>
        <w:t>202</w:t>
      </w:r>
      <w:r>
        <w:rPr>
          <w:color w:val="A6A6A6" w:themeColor="background1" w:themeShade="A6"/>
          <w:sz w:val="32"/>
          <w:szCs w:val="40"/>
        </w:rPr>
        <w:t xml:space="preserve">3    </w:t>
      </w:r>
    </w:p>
    <w:p w14:paraId="5DB8478D" w14:textId="77777777" w:rsidR="006645FC" w:rsidRPr="00B145C2" w:rsidRDefault="006645FC" w:rsidP="006645FC"/>
    <w:p w14:paraId="019DCFE2" w14:textId="77777777" w:rsidR="006645FC" w:rsidRPr="00092065" w:rsidRDefault="006645FC" w:rsidP="006645F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304103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304103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304103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304103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304103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304103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6645FC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77777777" w:rsidR="006645FC" w:rsidRPr="00304103" w:rsidRDefault="006645FC" w:rsidP="00F748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7D8EB3DF" w14:textId="77777777" w:rsidR="006645FC" w:rsidRPr="00304103" w:rsidRDefault="006645FC" w:rsidP="00F748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66977D9A" w14:textId="77777777" w:rsidR="006645FC" w:rsidRPr="00E54D1E" w:rsidRDefault="006645FC" w:rsidP="00F748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5CBA6611" w14:textId="77777777" w:rsidR="006645FC" w:rsidRPr="00E54D1E" w:rsidRDefault="006645FC" w:rsidP="00F748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75EA944E" w14:textId="77777777" w:rsidR="006645FC" w:rsidRPr="00E54D1E" w:rsidRDefault="006645FC" w:rsidP="00F748C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43487763" w14:textId="77777777" w:rsidR="006645FC" w:rsidRPr="00304103" w:rsidRDefault="006645FC" w:rsidP="00F748C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CD45503" w14:textId="77777777" w:rsidR="006645FC" w:rsidRPr="00E63213" w:rsidRDefault="006645FC" w:rsidP="006645FC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8CE5976" w14:textId="77777777" w:rsidR="006645FC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1F4AE9FF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gram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2FB1D90C" w14:textId="77777777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63D63DA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D075588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D69088B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797093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EB9FBAB" w14:textId="77777777" w:rsidR="006645FC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7FF898FF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1BEB5682" w14:textId="77777777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BA9DB9" w14:textId="77777777" w:rsidR="006645FC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1C7E1" w14:textId="77777777" w:rsidR="006645FC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4B9DDE60" w14:textId="77777777" w:rsidR="006645FC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68E856" w14:textId="77777777" w:rsidR="006645FC" w:rsidRPr="00A47B8B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budou uvažovány s parametry navrženými v rámci stavebních úprav.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1B9AF5C" w14:textId="77777777" w:rsidR="006645FC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sz w:val="22"/>
          <w:szCs w:val="22"/>
        </w:rPr>
      </w:pPr>
    </w:p>
    <w:p w14:paraId="3B893763" w14:textId="77777777" w:rsidR="006645FC" w:rsidRPr="00FA19E4" w:rsidRDefault="006645FC" w:rsidP="006645FC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281F7A98" w14:textId="77777777" w:rsidR="006645FC" w:rsidRPr="00306B23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AAEE57F" w14:textId="77777777" w:rsidR="006645FC" w:rsidRPr="00E63213" w:rsidRDefault="006645FC" w:rsidP="006645FC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FF7F50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8113B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20DD65F0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9C6C9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gramEnd"/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gramEnd"/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požadavků  ČSN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9B1D0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9F023D" w:rsidRDefault="009974C1"/>
    <w:sectPr w:rsidR="009F023D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E02710" w:rsidRPr="00E02710" w:rsidRDefault="009974C1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FF75E8" w:rsidRDefault="009974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7C228C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FF75E8" w:rsidRDefault="009974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77777777" w:rsidR="007C228C" w:rsidRDefault="008B7D0F">
    <w:pPr>
      <w:pStyle w:val="Zhlav"/>
    </w:pPr>
    <w:r>
      <w:rPr>
        <w:noProof/>
      </w:rPr>
      <w:drawing>
        <wp:inline distT="0" distB="0" distL="0" distR="0" wp14:anchorId="08DD9D4E" wp14:editId="38E868B1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0"/>
  </w:num>
  <w:num w:numId="5">
    <w:abstractNumId w:val="8"/>
  </w:num>
  <w:num w:numId="6">
    <w:abstractNumId w:val="7"/>
  </w:num>
  <w:num w:numId="7">
    <w:abstractNumId w:val="15"/>
  </w:num>
  <w:num w:numId="8">
    <w:abstractNumId w:val="5"/>
  </w:num>
  <w:num w:numId="9">
    <w:abstractNumId w:val="10"/>
  </w:num>
  <w:num w:numId="10">
    <w:abstractNumId w:val="9"/>
  </w:num>
  <w:num w:numId="11">
    <w:abstractNumId w:val="6"/>
  </w:num>
  <w:num w:numId="12">
    <w:abstractNumId w:val="3"/>
  </w:num>
  <w:num w:numId="13">
    <w:abstractNumId w:val="12"/>
  </w:num>
  <w:num w:numId="14">
    <w:abstractNumId w:val="1"/>
  </w:num>
  <w:num w:numId="15">
    <w:abstractNumId w:val="16"/>
  </w:num>
  <w:num w:numId="16">
    <w:abstractNumId w:val="4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511956"/>
    <w:rsid w:val="006645FC"/>
    <w:rsid w:val="006C19B1"/>
    <w:rsid w:val="008B7D0F"/>
    <w:rsid w:val="009974C1"/>
    <w:rsid w:val="00BC45F2"/>
    <w:rsid w:val="00C6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4026</Words>
  <Characters>23756</Characters>
  <Application>Microsoft Office Word</Application>
  <DocSecurity>0</DocSecurity>
  <Lines>197</Lines>
  <Paragraphs>55</Paragraphs>
  <ScaleCrop>false</ScaleCrop>
  <Company>MPSV ČR</Company>
  <LinksUpToDate>false</LinksUpToDate>
  <CharactersWithSpaces>27727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Nováková Magdalena Mgr. (MPSV)</cp:lastModifiedBy>
  <cp:revision>6</cp:revision>
  <dcterms:created xsi:type="dcterms:W3CDTF">2023-03-13T11:36:00Z</dcterms:created>
  <dcterms:modified xsi:type="dcterms:W3CDTF">2023-03-16T16:49:00Z</dcterms:modified>
</cp:coreProperties>
</file>