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CF995" w14:textId="77777777" w:rsidR="00451C17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</w:p>
    <w:p w14:paraId="04B92F75" w14:textId="648378C5" w:rsidR="00451C17" w:rsidRPr="00FF5F15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NÁRODNÍ PLÁN OBNOVY</w:t>
      </w:r>
    </w:p>
    <w:p w14:paraId="4F5E599E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71A0F27D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46839B6C" w14:textId="77777777" w:rsidR="00451C17" w:rsidRPr="00A45AB8" w:rsidRDefault="00451C17" w:rsidP="00451C17">
      <w:pPr>
        <w:pStyle w:val="Zkladnodstavec"/>
        <w:rPr>
          <w:rFonts w:asciiTheme="minorHAnsi" w:hAnsiTheme="minorHAnsi" w:cstheme="minorHAnsi"/>
        </w:rPr>
      </w:pPr>
    </w:p>
    <w:p w14:paraId="41EE5B5F" w14:textId="77777777" w:rsidR="00451C17" w:rsidRDefault="00451C17" w:rsidP="00451C17">
      <w:pPr>
        <w:rPr>
          <w:rFonts w:asciiTheme="minorHAnsi" w:hAnsiTheme="minorHAnsi" w:cstheme="minorHAnsi"/>
        </w:rPr>
      </w:pPr>
    </w:p>
    <w:p w14:paraId="70341CE2" w14:textId="77777777" w:rsidR="00451C17" w:rsidRDefault="00451C17" w:rsidP="00451C17">
      <w:pPr>
        <w:rPr>
          <w:rFonts w:asciiTheme="minorHAnsi" w:hAnsiTheme="minorHAnsi" w:cstheme="minorHAnsi"/>
        </w:rPr>
      </w:pPr>
    </w:p>
    <w:p w14:paraId="1A44EDFC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616A94F7" w14:textId="77777777" w:rsidR="00451C17" w:rsidRPr="00FF5F15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OBECNÁ PRAVIDLA</w:t>
      </w:r>
    </w:p>
    <w:p w14:paraId="50E1BF51" w14:textId="77777777" w:rsidR="00451C17" w:rsidRPr="00A45AB8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hAnsiTheme="minorHAnsi" w:cstheme="minorHAnsi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PRO ŽADATELE A PŘÍJEMCE</w:t>
      </w:r>
    </w:p>
    <w:p w14:paraId="7F755C5D" w14:textId="77777777" w:rsidR="00451C17" w:rsidRPr="00A45AB8" w:rsidRDefault="00451C17" w:rsidP="00451C17">
      <w:pPr>
        <w:rPr>
          <w:rFonts w:asciiTheme="minorHAnsi" w:hAnsiTheme="minorHAnsi" w:cstheme="minorHAnsi"/>
        </w:rPr>
      </w:pPr>
      <w:bookmarkStart w:id="0" w:name="_Hlk93072247"/>
    </w:p>
    <w:p w14:paraId="54656919" w14:textId="77777777" w:rsidR="00451C17" w:rsidRDefault="00451C17" w:rsidP="00451C17">
      <w:pPr>
        <w:rPr>
          <w:rFonts w:asciiTheme="minorHAnsi" w:hAnsiTheme="minorHAnsi" w:cstheme="minorHAnsi"/>
        </w:rPr>
      </w:pPr>
    </w:p>
    <w:p w14:paraId="517DD419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bookmarkEnd w:id="0"/>
    <w:p w14:paraId="633EB220" w14:textId="77777777" w:rsidR="00451C17" w:rsidRPr="00FF5F15" w:rsidRDefault="00451C17" w:rsidP="00451C17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A45AB8">
        <w:rPr>
          <w:rFonts w:asciiTheme="minorHAnsi" w:hAnsiTheme="minorHAnsi" w:cstheme="minorHAnsi"/>
          <w:caps/>
          <w:sz w:val="40"/>
          <w:szCs w:val="40"/>
        </w:rPr>
        <w:t xml:space="preserve">PŘÍLOHA </w:t>
      </w:r>
      <w:r w:rsidRPr="001E7973">
        <w:rPr>
          <w:rFonts w:asciiTheme="minorHAnsi" w:hAnsiTheme="minorHAnsi" w:cstheme="minorHAnsi"/>
          <w:caps/>
          <w:sz w:val="40"/>
          <w:szCs w:val="40"/>
        </w:rPr>
        <w:t xml:space="preserve">Č. </w:t>
      </w:r>
      <w:r w:rsidRPr="00202D13">
        <w:rPr>
          <w:rFonts w:asciiTheme="minorHAnsi" w:hAnsiTheme="minorHAnsi" w:cstheme="minorHAnsi"/>
          <w:caps/>
          <w:sz w:val="40"/>
          <w:szCs w:val="40"/>
        </w:rPr>
        <w:t>17</w:t>
      </w:r>
    </w:p>
    <w:p w14:paraId="774456CE" w14:textId="77777777" w:rsidR="00451C17" w:rsidRDefault="00451C17" w:rsidP="00451C17">
      <w:pPr>
        <w:pStyle w:val="vodka"/>
        <w:jc w:val="left"/>
        <w:rPr>
          <w:rFonts w:asciiTheme="minorHAnsi" w:eastAsia="Times New Roman" w:hAnsiTheme="minorHAnsi" w:cstheme="minorHAnsi"/>
          <w:caps w:val="0"/>
          <w:color w:val="auto"/>
          <w:sz w:val="60"/>
          <w:lang w:eastAsia="cs-CZ"/>
        </w:rPr>
      </w:pPr>
    </w:p>
    <w:p w14:paraId="13C30D3B" w14:textId="7B580D02" w:rsidR="00451C17" w:rsidRPr="008F287D" w:rsidRDefault="00451C17" w:rsidP="00451C17">
      <w:pPr>
        <w:pStyle w:val="vodka"/>
        <w:jc w:val="left"/>
        <w:rPr>
          <w:rFonts w:asciiTheme="minorHAnsi" w:hAnsiTheme="minorHAnsi" w:cstheme="minorHAnsi"/>
          <w:b/>
          <w:sz w:val="46"/>
          <w:szCs w:val="40"/>
        </w:rPr>
      </w:pPr>
      <w:bookmarkStart w:id="1" w:name="_Hlk92392227"/>
      <w:r w:rsidRPr="008F287D">
        <w:rPr>
          <w:rFonts w:asciiTheme="minorHAnsi" w:hAnsiTheme="minorHAnsi" w:cstheme="minorHAnsi"/>
          <w:b/>
          <w:sz w:val="46"/>
          <w:szCs w:val="40"/>
        </w:rPr>
        <w:t>Kontrolní</w:t>
      </w:r>
      <w:r w:rsidRPr="00BC14D8">
        <w:rPr>
          <w:rFonts w:cs="Segoe UI"/>
          <w:b/>
          <w:color w:val="1F4E79" w:themeColor="accent1" w:themeShade="80"/>
        </w:rPr>
        <w:t xml:space="preserve"> </w:t>
      </w:r>
      <w:r w:rsidRPr="008F287D">
        <w:rPr>
          <w:rFonts w:asciiTheme="minorHAnsi" w:hAnsiTheme="minorHAnsi" w:cstheme="minorHAnsi"/>
          <w:b/>
          <w:sz w:val="46"/>
          <w:szCs w:val="40"/>
        </w:rPr>
        <w:t>protokol k zásadě DNSH</w:t>
      </w:r>
      <w:r w:rsidR="00BD411A" w:rsidRPr="00651EBC">
        <w:rPr>
          <w:rStyle w:val="Znakapoznpodarou"/>
          <w:rFonts w:asciiTheme="minorHAnsi" w:hAnsiTheme="minorHAnsi" w:cstheme="minorHAnsi"/>
          <w:b/>
          <w:sz w:val="46"/>
          <w:szCs w:val="40"/>
        </w:rPr>
        <w:footnoteReference w:id="1"/>
      </w:r>
      <w:r w:rsidRPr="00651EBC">
        <w:rPr>
          <w:rFonts w:asciiTheme="minorHAnsi" w:hAnsiTheme="minorHAnsi" w:cstheme="minorHAnsi"/>
          <w:b/>
          <w:sz w:val="46"/>
          <w:szCs w:val="40"/>
          <w:vertAlign w:val="superscript"/>
        </w:rPr>
        <w:t xml:space="preserve"> </w:t>
      </w:r>
      <w:r w:rsidRPr="008F287D">
        <w:rPr>
          <w:rFonts w:asciiTheme="minorHAnsi" w:hAnsiTheme="minorHAnsi" w:cstheme="minorHAnsi"/>
          <w:b/>
          <w:sz w:val="46"/>
          <w:szCs w:val="40"/>
        </w:rPr>
        <w:t>pro všechny žadatele a příjemce VK 3.3</w:t>
      </w:r>
    </w:p>
    <w:bookmarkEnd w:id="1"/>
    <w:p w14:paraId="3CDF5598" w14:textId="17D7BE1E" w:rsidR="00451C17" w:rsidRDefault="00451C17" w:rsidP="00451C17">
      <w:pPr>
        <w:rPr>
          <w:color w:val="auto"/>
          <w:sz w:val="24"/>
          <w:szCs w:val="24"/>
        </w:rPr>
      </w:pPr>
      <w:r w:rsidRPr="008F287D">
        <w:rPr>
          <w:color w:val="auto"/>
          <w:sz w:val="24"/>
          <w:szCs w:val="24"/>
        </w:rPr>
        <w:t xml:space="preserve">dle Technických pokynů k uplatňování zásady „významně nepoškozovat“ podle nařízení o Nástroji pro oživení a odolnost </w:t>
      </w:r>
      <w:r w:rsidRPr="00202D13">
        <w:rPr>
          <w:color w:val="auto"/>
          <w:sz w:val="24"/>
          <w:szCs w:val="24"/>
        </w:rPr>
        <w:t>(oznámení Komise 2021/C 58/01)</w:t>
      </w:r>
    </w:p>
    <w:p w14:paraId="62FC8701" w14:textId="77777777" w:rsidR="00451C17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3D909DA2" w14:textId="0F793798" w:rsidR="00451C17" w:rsidRDefault="007A5A1C" w:rsidP="00651EBC">
      <w:pPr>
        <w:spacing w:before="120"/>
      </w:pPr>
      <w:r>
        <w:rPr>
          <w:color w:val="000000" w:themeColor="text1"/>
        </w:rPr>
        <w:t>Kontrolní protokol</w:t>
      </w:r>
      <w:r w:rsidRPr="005F36A6">
        <w:rPr>
          <w:color w:val="000000" w:themeColor="text1"/>
        </w:rPr>
        <w:t xml:space="preserve"> uvedený v této příloze se může měnit v závislosti na aktuálních požadavcích Evropské komise a MPO-DU.</w:t>
      </w:r>
    </w:p>
    <w:p w14:paraId="206465C7" w14:textId="77777777" w:rsidR="005E2A5C" w:rsidRDefault="005E2A5C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6FFC1E73" w14:textId="030CE2C6" w:rsidR="00451C17" w:rsidRPr="006901E4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VYDÁNÍ </w:t>
      </w:r>
      <w:r w:rsidR="00223CFF">
        <w:rPr>
          <w:color w:val="A6A6A6" w:themeColor="background1" w:themeShade="A6"/>
          <w:sz w:val="32"/>
          <w:szCs w:val="40"/>
        </w:rPr>
        <w:t>1.1</w:t>
      </w:r>
    </w:p>
    <w:p w14:paraId="7690E86D" w14:textId="385673E6" w:rsidR="00B44A5C" w:rsidRPr="00451C17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9B1E0E">
        <w:rPr>
          <w:color w:val="A6A6A6" w:themeColor="background1" w:themeShade="A6"/>
          <w:sz w:val="32"/>
          <w:szCs w:val="40"/>
        </w:rPr>
        <w:t xml:space="preserve">OD </w:t>
      </w:r>
      <w:r w:rsidR="00053FFE">
        <w:rPr>
          <w:color w:val="A6A6A6" w:themeColor="background1" w:themeShade="A6"/>
          <w:sz w:val="32"/>
          <w:szCs w:val="40"/>
        </w:rPr>
        <w:t>1.7</w:t>
      </w:r>
      <w:r w:rsidRPr="009B1E0E">
        <w:rPr>
          <w:color w:val="A6A6A6" w:themeColor="background1" w:themeShade="A6"/>
          <w:sz w:val="32"/>
          <w:szCs w:val="40"/>
        </w:rPr>
        <w:t>. 2022</w:t>
      </w:r>
      <w:r>
        <w:rPr>
          <w:color w:val="A6A6A6" w:themeColor="background1" w:themeShade="A6"/>
          <w:sz w:val="32"/>
          <w:szCs w:val="40"/>
        </w:rPr>
        <w:t xml:space="preserve">               </w:t>
      </w:r>
    </w:p>
    <w:tbl>
      <w:tblPr>
        <w:tblStyle w:val="TableNormal"/>
        <w:tblpPr w:leftFromText="141" w:rightFromText="141" w:horzAnchor="margin" w:tblpY="57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76"/>
        <w:gridCol w:w="1499"/>
        <w:gridCol w:w="1399"/>
        <w:gridCol w:w="1521"/>
        <w:gridCol w:w="2011"/>
        <w:gridCol w:w="1654"/>
      </w:tblGrid>
      <w:tr w:rsidR="00D173C9" w:rsidRPr="00223CFF" w14:paraId="42C6CBB5" w14:textId="77777777" w:rsidTr="00223CFF">
        <w:trPr>
          <w:trHeight w:val="642"/>
        </w:trPr>
        <w:tc>
          <w:tcPr>
            <w:tcW w:w="539" w:type="pct"/>
          </w:tcPr>
          <w:p w14:paraId="3408BC44" w14:textId="77777777" w:rsidR="00053FFE" w:rsidRPr="00223CFF" w:rsidRDefault="00053FFE" w:rsidP="00223CF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23CFF">
              <w:rPr>
                <w:rFonts w:asciiTheme="minorHAnsi" w:hAnsiTheme="minorHAnsi" w:cstheme="minorHAnsi"/>
                <w:b/>
                <w:bCs/>
                <w:lang w:val="cs-CZ"/>
              </w:rPr>
              <w:lastRenderedPageBreak/>
              <w:t>Revize č.</w:t>
            </w:r>
          </w:p>
        </w:tc>
        <w:tc>
          <w:tcPr>
            <w:tcW w:w="827" w:type="pct"/>
          </w:tcPr>
          <w:p w14:paraId="4E2B580A" w14:textId="77777777" w:rsidR="00053FFE" w:rsidRPr="00223CFF" w:rsidRDefault="00053FFE" w:rsidP="00223CF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23CFF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72" w:type="pct"/>
          </w:tcPr>
          <w:p w14:paraId="6FDD6194" w14:textId="77777777" w:rsidR="00053FFE" w:rsidRPr="00223CFF" w:rsidRDefault="00053FFE" w:rsidP="00223CF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23CFF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839" w:type="pct"/>
          </w:tcPr>
          <w:p w14:paraId="1AF564D4" w14:textId="77777777" w:rsidR="00053FFE" w:rsidRPr="00223CFF" w:rsidRDefault="00053FFE" w:rsidP="00223CF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23CFF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110" w:type="pct"/>
          </w:tcPr>
          <w:p w14:paraId="5329C872" w14:textId="77777777" w:rsidR="00053FFE" w:rsidRPr="00223CFF" w:rsidRDefault="00053FFE" w:rsidP="00223CF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23CFF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913" w:type="pct"/>
          </w:tcPr>
          <w:p w14:paraId="04FB966F" w14:textId="77777777" w:rsidR="00053FFE" w:rsidRPr="00223CFF" w:rsidRDefault="00053FFE" w:rsidP="00223CF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23CFF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223CFF" w:rsidRPr="00223CFF" w14:paraId="40849C45" w14:textId="77777777" w:rsidTr="00223CFF">
        <w:trPr>
          <w:trHeight w:val="699"/>
        </w:trPr>
        <w:tc>
          <w:tcPr>
            <w:tcW w:w="539" w:type="pct"/>
            <w:vMerge w:val="restart"/>
          </w:tcPr>
          <w:p w14:paraId="4DB00807" w14:textId="77777777" w:rsidR="00223CFF" w:rsidRPr="00223CFF" w:rsidRDefault="00223CFF" w:rsidP="00223CF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223CFF">
              <w:rPr>
                <w:rFonts w:asciiTheme="minorHAnsi" w:hAnsiTheme="minorHAnsi" w:cstheme="minorHAnsi"/>
                <w:lang w:val="cs-CZ"/>
              </w:rPr>
              <w:t>1</w:t>
            </w:r>
          </w:p>
          <w:p w14:paraId="5F81BF1C" w14:textId="21BF5506" w:rsidR="00223CFF" w:rsidRPr="00223CFF" w:rsidRDefault="00223CFF" w:rsidP="00223CF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7" w:type="pct"/>
          </w:tcPr>
          <w:p w14:paraId="0F8D85A4" w14:textId="2DF84554" w:rsidR="00223CFF" w:rsidRPr="00223CFF" w:rsidRDefault="00223CFF" w:rsidP="00223CFF">
            <w:pPr>
              <w:pStyle w:val="TableParagraph"/>
              <w:spacing w:line="281" w:lineRule="exact"/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  <w:r w:rsidRPr="00223CFF">
              <w:rPr>
                <w:b/>
                <w:sz w:val="18"/>
                <w:szCs w:val="18"/>
                <w:lang w:val="cs-CZ"/>
              </w:rPr>
              <w:t>-</w:t>
            </w:r>
          </w:p>
        </w:tc>
        <w:tc>
          <w:tcPr>
            <w:tcW w:w="772" w:type="pct"/>
          </w:tcPr>
          <w:p w14:paraId="434CB0B5" w14:textId="16F9FBB1" w:rsidR="00223CFF" w:rsidRPr="00223CFF" w:rsidRDefault="00223CFF" w:rsidP="00223CF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23CFF">
              <w:rPr>
                <w:rFonts w:asciiTheme="minorHAnsi" w:hAnsiTheme="minorHAnsi" w:cstheme="minorHAnsi"/>
                <w:lang w:val="cs-CZ"/>
              </w:rPr>
              <w:t>2</w:t>
            </w:r>
          </w:p>
        </w:tc>
        <w:tc>
          <w:tcPr>
            <w:tcW w:w="839" w:type="pct"/>
          </w:tcPr>
          <w:p w14:paraId="7023D835" w14:textId="1A961F1E" w:rsidR="00223CFF" w:rsidRPr="00223CFF" w:rsidRDefault="002D6425" w:rsidP="00223CF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F</w:t>
            </w:r>
            <w:r w:rsidR="00223CFF" w:rsidRPr="00223CFF">
              <w:rPr>
                <w:rFonts w:asciiTheme="minorHAnsi" w:hAnsiTheme="minorHAnsi" w:cstheme="minorHAnsi"/>
                <w:lang w:val="cs-CZ"/>
              </w:rPr>
              <w:t>ormální úprava</w:t>
            </w:r>
          </w:p>
        </w:tc>
        <w:tc>
          <w:tcPr>
            <w:tcW w:w="1110" w:type="pct"/>
          </w:tcPr>
          <w:p w14:paraId="2A2A5BE5" w14:textId="58958298" w:rsidR="00223CFF" w:rsidRPr="00223CFF" w:rsidRDefault="002D6425" w:rsidP="00223CF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V</w:t>
            </w:r>
            <w:r w:rsidR="00223CFF" w:rsidRPr="00223CFF">
              <w:rPr>
                <w:rFonts w:asciiTheme="minorHAnsi" w:hAnsiTheme="minorHAnsi" w:cstheme="minorHAnsi"/>
                <w:lang w:val="cs-CZ"/>
              </w:rPr>
              <w:t>ložení obsahu</w:t>
            </w:r>
          </w:p>
        </w:tc>
        <w:tc>
          <w:tcPr>
            <w:tcW w:w="913" w:type="pct"/>
            <w:vMerge w:val="restart"/>
          </w:tcPr>
          <w:p w14:paraId="60E58538" w14:textId="0CD48F0B" w:rsidR="00223CFF" w:rsidRPr="00223CFF" w:rsidRDefault="005E2A5C" w:rsidP="005E2A5C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  <w:r w:rsidRPr="005E2A5C">
              <w:rPr>
                <w:rFonts w:asciiTheme="minorHAnsi" w:hAnsiTheme="minorHAnsi" w:cstheme="minorHAnsi"/>
                <w:lang w:val="cs-CZ"/>
              </w:rPr>
              <w:t>1.</w:t>
            </w:r>
            <w:r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223CFF" w:rsidRPr="00223CFF">
              <w:rPr>
                <w:rFonts w:asciiTheme="minorHAnsi" w:hAnsiTheme="minorHAnsi" w:cstheme="minorHAnsi"/>
                <w:lang w:val="cs-CZ"/>
              </w:rPr>
              <w:t>7.</w:t>
            </w:r>
            <w:r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223CFF" w:rsidRPr="00223CFF">
              <w:rPr>
                <w:rFonts w:asciiTheme="minorHAnsi" w:hAnsiTheme="minorHAnsi" w:cstheme="minorHAnsi"/>
                <w:lang w:val="cs-CZ"/>
              </w:rPr>
              <w:t>2022</w:t>
            </w:r>
          </w:p>
          <w:p w14:paraId="361436BC" w14:textId="0263D64E" w:rsidR="00223CFF" w:rsidRPr="00223CFF" w:rsidRDefault="00223CFF" w:rsidP="00223CF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223CFF" w:rsidRPr="00223CFF" w14:paraId="324B83E4" w14:textId="77777777" w:rsidTr="00223CFF">
        <w:trPr>
          <w:trHeight w:val="699"/>
        </w:trPr>
        <w:tc>
          <w:tcPr>
            <w:tcW w:w="539" w:type="pct"/>
            <w:vMerge/>
          </w:tcPr>
          <w:p w14:paraId="66821A9C" w14:textId="3C81769C" w:rsidR="00223CFF" w:rsidRPr="00223CFF" w:rsidRDefault="00223CFF" w:rsidP="00223CF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7" w:type="pct"/>
          </w:tcPr>
          <w:p w14:paraId="2843B26F" w14:textId="77777777" w:rsidR="00223CFF" w:rsidRPr="00223CFF" w:rsidRDefault="00223CFF" w:rsidP="00223CFF">
            <w:pPr>
              <w:pStyle w:val="TableParagraph"/>
              <w:spacing w:line="281" w:lineRule="exact"/>
              <w:rPr>
                <w:b/>
                <w:sz w:val="18"/>
                <w:szCs w:val="18"/>
                <w:lang w:val="cs-CZ"/>
              </w:rPr>
            </w:pPr>
          </w:p>
        </w:tc>
        <w:tc>
          <w:tcPr>
            <w:tcW w:w="772" w:type="pct"/>
          </w:tcPr>
          <w:p w14:paraId="4821050B" w14:textId="5DBAC2F9" w:rsidR="00223CFF" w:rsidRPr="00223CFF" w:rsidRDefault="00223CFF" w:rsidP="00223CF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23CFF">
              <w:rPr>
                <w:rFonts w:asciiTheme="minorHAnsi" w:hAnsiTheme="minorHAnsi" w:cstheme="minorHAnsi"/>
                <w:lang w:val="cs-CZ"/>
              </w:rPr>
              <w:t>7</w:t>
            </w:r>
          </w:p>
        </w:tc>
        <w:tc>
          <w:tcPr>
            <w:tcW w:w="839" w:type="pct"/>
          </w:tcPr>
          <w:p w14:paraId="35CB6418" w14:textId="369B1CF1" w:rsidR="00223CFF" w:rsidRPr="00223CFF" w:rsidRDefault="00223CFF" w:rsidP="00223CF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23CFF">
              <w:rPr>
                <w:rFonts w:asciiTheme="minorHAnsi" w:hAnsiTheme="minorHAnsi" w:cstheme="minorHAnsi"/>
                <w:lang w:val="cs-CZ"/>
              </w:rPr>
              <w:t>Formální úprava</w:t>
            </w:r>
          </w:p>
        </w:tc>
        <w:tc>
          <w:tcPr>
            <w:tcW w:w="1110" w:type="pct"/>
          </w:tcPr>
          <w:p w14:paraId="56CBB22D" w14:textId="34526758" w:rsidR="00223CFF" w:rsidRPr="00223CFF" w:rsidRDefault="00223CFF" w:rsidP="00223CF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223CFF">
              <w:rPr>
                <w:rFonts w:asciiTheme="minorHAnsi" w:hAnsiTheme="minorHAnsi" w:cstheme="minorHAnsi"/>
                <w:lang w:val="cs-CZ"/>
              </w:rPr>
              <w:t>Úprava vysvětlivek pod čarou</w:t>
            </w:r>
          </w:p>
        </w:tc>
        <w:tc>
          <w:tcPr>
            <w:tcW w:w="913" w:type="pct"/>
            <w:vMerge/>
          </w:tcPr>
          <w:p w14:paraId="5F7F50CC" w14:textId="3A8A2621" w:rsidR="00223CFF" w:rsidRPr="00223CFF" w:rsidRDefault="00223CFF" w:rsidP="00223CF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</w:p>
        </w:tc>
      </w:tr>
      <w:tr w:rsidR="00223CFF" w:rsidRPr="00223CFF" w14:paraId="422B4505" w14:textId="77777777" w:rsidTr="00223CFF">
        <w:trPr>
          <w:trHeight w:val="699"/>
        </w:trPr>
        <w:tc>
          <w:tcPr>
            <w:tcW w:w="539" w:type="pct"/>
            <w:vMerge/>
          </w:tcPr>
          <w:p w14:paraId="44F78F98" w14:textId="3F1BC61B" w:rsidR="00223CFF" w:rsidRPr="00223CFF" w:rsidRDefault="00223CFF" w:rsidP="00223CFF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27" w:type="pct"/>
          </w:tcPr>
          <w:p w14:paraId="684C958E" w14:textId="77777777" w:rsidR="00223CFF" w:rsidRPr="00223CFF" w:rsidRDefault="00223CFF" w:rsidP="00223CFF">
            <w:pPr>
              <w:pStyle w:val="TableParagraph"/>
              <w:spacing w:line="281" w:lineRule="exact"/>
              <w:rPr>
                <w:b/>
                <w:sz w:val="18"/>
                <w:szCs w:val="18"/>
                <w:lang w:val="cs-CZ"/>
              </w:rPr>
            </w:pPr>
          </w:p>
        </w:tc>
        <w:tc>
          <w:tcPr>
            <w:tcW w:w="772" w:type="pct"/>
          </w:tcPr>
          <w:p w14:paraId="5D125288" w14:textId="60D6B873" w:rsidR="00223CFF" w:rsidRPr="00223CFF" w:rsidRDefault="00223CFF" w:rsidP="00223CF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23CFF">
              <w:rPr>
                <w:rFonts w:asciiTheme="minorHAnsi" w:hAnsiTheme="minorHAnsi" w:cstheme="minorHAnsi"/>
                <w:lang w:val="cs-CZ"/>
              </w:rPr>
              <w:t>8</w:t>
            </w:r>
          </w:p>
        </w:tc>
        <w:tc>
          <w:tcPr>
            <w:tcW w:w="839" w:type="pct"/>
          </w:tcPr>
          <w:p w14:paraId="22F52577" w14:textId="1C1728AF" w:rsidR="00223CFF" w:rsidRPr="00223CFF" w:rsidRDefault="00223CFF" w:rsidP="00223CFF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23CFF">
              <w:rPr>
                <w:rFonts w:asciiTheme="minorHAnsi" w:hAnsiTheme="minorHAnsi" w:cstheme="minorHAnsi"/>
                <w:lang w:val="cs-CZ"/>
              </w:rPr>
              <w:t>Upřesnění DNSH pro žadatele</w:t>
            </w:r>
          </w:p>
        </w:tc>
        <w:tc>
          <w:tcPr>
            <w:tcW w:w="1110" w:type="pct"/>
          </w:tcPr>
          <w:p w14:paraId="286F067F" w14:textId="7E68C3A0" w:rsidR="00223CFF" w:rsidRPr="00223CFF" w:rsidRDefault="00223CFF" w:rsidP="00223CFF">
            <w:pPr>
              <w:pStyle w:val="Nadpis1"/>
              <w:numPr>
                <w:ilvl w:val="0"/>
                <w:numId w:val="0"/>
              </w:numPr>
              <w:ind w:left="129"/>
              <w:jc w:val="left"/>
              <w:outlineLvl w:val="0"/>
              <w:rPr>
                <w:rFonts w:asciiTheme="minorHAnsi" w:eastAsia="Calibri" w:hAnsiTheme="minorHAnsi" w:cstheme="minorHAnsi"/>
                <w:b w:val="0"/>
                <w:color w:val="auto"/>
                <w:sz w:val="22"/>
                <w:szCs w:val="22"/>
                <w:lang w:val="cs-CZ" w:eastAsia="cs-CZ" w:bidi="cs-CZ"/>
              </w:rPr>
            </w:pPr>
            <w:bookmarkStart w:id="2" w:name="_Toc107405259"/>
            <w:r w:rsidRPr="00223CFF">
              <w:rPr>
                <w:rFonts w:asciiTheme="minorHAnsi" w:eastAsia="Calibri" w:hAnsiTheme="minorHAnsi" w:cstheme="minorHAnsi"/>
                <w:b w:val="0"/>
                <w:color w:val="auto"/>
                <w:sz w:val="22"/>
                <w:szCs w:val="22"/>
                <w:lang w:val="cs-CZ" w:eastAsia="cs-CZ" w:bidi="cs-CZ"/>
              </w:rPr>
              <w:t>Konkrétní naplnění cílů DNSH v projektu</w:t>
            </w:r>
            <w:bookmarkEnd w:id="2"/>
          </w:p>
          <w:p w14:paraId="31AB1BF3" w14:textId="4658ED22" w:rsidR="00223CFF" w:rsidRPr="00223CFF" w:rsidRDefault="00223CFF" w:rsidP="00223CFF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913" w:type="pct"/>
            <w:vMerge/>
          </w:tcPr>
          <w:p w14:paraId="0C5C0B54" w14:textId="4C58A78C" w:rsidR="00223CFF" w:rsidRPr="00223CFF" w:rsidRDefault="00223CFF" w:rsidP="00223CFF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  <w:lang w:val="cs-CZ"/>
              </w:rPr>
            </w:pPr>
          </w:p>
        </w:tc>
      </w:tr>
    </w:tbl>
    <w:p w14:paraId="3A6BD1F7" w14:textId="4541BBF6" w:rsidR="00053FFE" w:rsidRPr="00223CFF" w:rsidRDefault="00223CFF" w:rsidP="00223CFF">
      <w:pPr>
        <w:pStyle w:val="Nadpis1"/>
        <w:numPr>
          <w:ilvl w:val="0"/>
          <w:numId w:val="0"/>
        </w:numPr>
        <w:ind w:left="360" w:hanging="360"/>
        <w:rPr>
          <w:lang w:eastAsia="ja-JP"/>
        </w:rPr>
      </w:pPr>
      <w:bookmarkStart w:id="3" w:name="_Toc107405260"/>
      <w:r w:rsidRPr="00223CFF">
        <w:rPr>
          <w:lang w:eastAsia="ja-JP"/>
        </w:rPr>
        <w:t>Přehled revizí dokumentu:</w:t>
      </w:r>
      <w:bookmarkEnd w:id="3"/>
    </w:p>
    <w:sdt>
      <w:sdtPr>
        <w:rPr>
          <w:rFonts w:ascii="Segoe UI" w:eastAsiaTheme="minorHAnsi" w:hAnsi="Segoe UI" w:cs="Segoe UI"/>
          <w:color w:val="404040" w:themeColor="text1" w:themeTint="BF"/>
          <w:sz w:val="20"/>
          <w:szCs w:val="20"/>
          <w:lang w:eastAsia="en-US"/>
        </w:rPr>
        <w:id w:val="14830438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7EBDA" w14:textId="066357FB" w:rsidR="00166AE0" w:rsidRDefault="00166AE0" w:rsidP="00223CFF">
          <w:pPr>
            <w:pStyle w:val="Nadpisobsahu"/>
            <w:pageBreakBefore/>
          </w:pPr>
          <w:r>
            <w:t>Obsah</w:t>
          </w:r>
        </w:p>
        <w:p w14:paraId="4A6E7137" w14:textId="27E6921B" w:rsidR="00C55CB5" w:rsidRDefault="00166AE0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7405259" w:history="1">
            <w:r w:rsidR="00C55CB5" w:rsidRPr="00BB3A87">
              <w:rPr>
                <w:rStyle w:val="Hypertextovodkaz"/>
                <w:rFonts w:eastAsia="Calibri"/>
                <w:lang w:eastAsia="cs-CZ" w:bidi="cs-CZ"/>
              </w:rPr>
              <w:t>Konkrétní naplnění cílů DNSH v projektu</w:t>
            </w:r>
            <w:r w:rsidR="00C55CB5">
              <w:rPr>
                <w:webHidden/>
              </w:rPr>
              <w:tab/>
            </w:r>
            <w:r w:rsidR="00C55CB5">
              <w:rPr>
                <w:webHidden/>
              </w:rPr>
              <w:fldChar w:fldCharType="begin"/>
            </w:r>
            <w:r w:rsidR="00C55CB5">
              <w:rPr>
                <w:webHidden/>
              </w:rPr>
              <w:instrText xml:space="preserve"> PAGEREF _Toc107405259 \h </w:instrText>
            </w:r>
            <w:r w:rsidR="00C55CB5">
              <w:rPr>
                <w:webHidden/>
              </w:rPr>
            </w:r>
            <w:r w:rsidR="00C55CB5">
              <w:rPr>
                <w:webHidden/>
              </w:rPr>
              <w:fldChar w:fldCharType="separate"/>
            </w:r>
            <w:r w:rsidR="003F470B">
              <w:rPr>
                <w:webHidden/>
              </w:rPr>
              <w:t>2</w:t>
            </w:r>
            <w:r w:rsidR="00C55CB5">
              <w:rPr>
                <w:webHidden/>
              </w:rPr>
              <w:fldChar w:fldCharType="end"/>
            </w:r>
          </w:hyperlink>
        </w:p>
        <w:p w14:paraId="09FA3947" w14:textId="45EAAF51" w:rsidR="00C55CB5" w:rsidRDefault="003F470B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07405260" w:history="1">
            <w:r w:rsidR="00C55CB5" w:rsidRPr="00BB3A87">
              <w:rPr>
                <w:rStyle w:val="Hypertextovodkaz"/>
                <w:lang w:eastAsia="ja-JP"/>
              </w:rPr>
              <w:t>Přehled revizí dokumentu:</w:t>
            </w:r>
            <w:r w:rsidR="00C55CB5">
              <w:rPr>
                <w:webHidden/>
              </w:rPr>
              <w:tab/>
            </w:r>
            <w:r w:rsidR="00C55CB5">
              <w:rPr>
                <w:webHidden/>
              </w:rPr>
              <w:fldChar w:fldCharType="begin"/>
            </w:r>
            <w:r w:rsidR="00C55CB5">
              <w:rPr>
                <w:webHidden/>
              </w:rPr>
              <w:instrText xml:space="preserve"> PAGEREF _Toc107405260 \h </w:instrText>
            </w:r>
            <w:r w:rsidR="00C55CB5">
              <w:rPr>
                <w:webHidden/>
              </w:rPr>
            </w:r>
            <w:r w:rsidR="00C55CB5"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 w:rsidR="00C55CB5">
              <w:rPr>
                <w:webHidden/>
              </w:rPr>
              <w:fldChar w:fldCharType="end"/>
            </w:r>
          </w:hyperlink>
        </w:p>
        <w:p w14:paraId="5F741AA7" w14:textId="6390E277" w:rsidR="00C55CB5" w:rsidRDefault="003F470B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07405261" w:history="1">
            <w:r w:rsidR="00C55CB5" w:rsidRPr="00BB3A87">
              <w:rPr>
                <w:rStyle w:val="Hypertextovodkaz"/>
              </w:rPr>
              <w:t>1.</w:t>
            </w:r>
            <w:r w:rsidR="00C55CB5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C55CB5" w:rsidRPr="00BB3A87">
              <w:rPr>
                <w:rStyle w:val="Hypertextovodkaz"/>
              </w:rPr>
              <w:t>Identifikace projektu/příjemce</w:t>
            </w:r>
            <w:r w:rsidR="00C55CB5">
              <w:rPr>
                <w:webHidden/>
              </w:rPr>
              <w:tab/>
            </w:r>
            <w:r w:rsidR="00C55CB5">
              <w:rPr>
                <w:webHidden/>
              </w:rPr>
              <w:fldChar w:fldCharType="begin"/>
            </w:r>
            <w:r w:rsidR="00C55CB5">
              <w:rPr>
                <w:webHidden/>
              </w:rPr>
              <w:instrText xml:space="preserve"> PAGEREF _Toc107405261 \h </w:instrText>
            </w:r>
            <w:r w:rsidR="00C55CB5">
              <w:rPr>
                <w:webHidden/>
              </w:rPr>
            </w:r>
            <w:r w:rsidR="00C55CB5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C55CB5">
              <w:rPr>
                <w:webHidden/>
              </w:rPr>
              <w:fldChar w:fldCharType="end"/>
            </w:r>
          </w:hyperlink>
        </w:p>
        <w:p w14:paraId="042F6BE9" w14:textId="493FB5DE" w:rsidR="00C55CB5" w:rsidRDefault="003F470B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07405262" w:history="1">
            <w:r w:rsidR="00C55CB5" w:rsidRPr="00BB3A87">
              <w:rPr>
                <w:rStyle w:val="Hypertextovodkaz"/>
              </w:rPr>
              <w:t>2.</w:t>
            </w:r>
            <w:r w:rsidR="00C55CB5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C55CB5" w:rsidRPr="00BB3A87">
              <w:rPr>
                <w:rStyle w:val="Hypertextovodkaz"/>
              </w:rPr>
              <w:t>Posouzení činnosti:</w:t>
            </w:r>
            <w:r w:rsidR="00C55CB5">
              <w:rPr>
                <w:webHidden/>
              </w:rPr>
              <w:tab/>
            </w:r>
            <w:r w:rsidR="00C55CB5">
              <w:rPr>
                <w:webHidden/>
              </w:rPr>
              <w:fldChar w:fldCharType="begin"/>
            </w:r>
            <w:r w:rsidR="00C55CB5">
              <w:rPr>
                <w:webHidden/>
              </w:rPr>
              <w:instrText xml:space="preserve"> PAGEREF _Toc107405262 \h </w:instrText>
            </w:r>
            <w:r w:rsidR="00C55CB5">
              <w:rPr>
                <w:webHidden/>
              </w:rPr>
            </w:r>
            <w:r w:rsidR="00C55CB5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C55CB5">
              <w:rPr>
                <w:webHidden/>
              </w:rPr>
              <w:fldChar w:fldCharType="end"/>
            </w:r>
          </w:hyperlink>
        </w:p>
        <w:p w14:paraId="2A4B8B0F" w14:textId="6BF19973" w:rsidR="00C55CB5" w:rsidRDefault="003F470B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07405263" w:history="1">
            <w:r w:rsidR="00C55CB5" w:rsidRPr="00BB3A87">
              <w:rPr>
                <w:rStyle w:val="Hypertextovodkaz"/>
              </w:rPr>
              <w:t>3.</w:t>
            </w:r>
            <w:r w:rsidR="00C55CB5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C55CB5" w:rsidRPr="00BB3A87">
              <w:rPr>
                <w:rStyle w:val="Hypertextovodkaz"/>
              </w:rPr>
              <w:t>Konkrétní naplnění cílů DNSH v projektu pro všechny žadatele VK 3.3</w:t>
            </w:r>
            <w:r w:rsidR="00C55CB5">
              <w:rPr>
                <w:webHidden/>
              </w:rPr>
              <w:tab/>
            </w:r>
            <w:r w:rsidR="00C55CB5">
              <w:rPr>
                <w:webHidden/>
              </w:rPr>
              <w:fldChar w:fldCharType="begin"/>
            </w:r>
            <w:r w:rsidR="00C55CB5">
              <w:rPr>
                <w:webHidden/>
              </w:rPr>
              <w:instrText xml:space="preserve"> PAGEREF _Toc107405263 \h </w:instrText>
            </w:r>
            <w:r w:rsidR="00C55CB5">
              <w:rPr>
                <w:webHidden/>
              </w:rPr>
            </w:r>
            <w:r w:rsidR="00C55CB5"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 w:rsidR="00C55CB5">
              <w:rPr>
                <w:webHidden/>
              </w:rPr>
              <w:fldChar w:fldCharType="end"/>
            </w:r>
          </w:hyperlink>
        </w:p>
        <w:p w14:paraId="2F2287E1" w14:textId="32ED1487" w:rsidR="00C55CB5" w:rsidRDefault="003F470B">
          <w:pPr>
            <w:pStyle w:val="Obsah3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07405264" w:history="1">
            <w:r w:rsidR="00C55CB5" w:rsidRPr="00BB3A87">
              <w:rPr>
                <w:rStyle w:val="Hypertextovodkaz"/>
                <w:noProof/>
              </w:rPr>
              <w:t>a)</w:t>
            </w:r>
            <w:r w:rsidR="00C55CB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C55CB5" w:rsidRPr="00BB3A87">
              <w:rPr>
                <w:rStyle w:val="Hypertextovodkaz"/>
                <w:noProof/>
              </w:rPr>
              <w:t>Cíl zmírňování změny klimatu</w:t>
            </w:r>
            <w:r w:rsidR="00C55CB5">
              <w:rPr>
                <w:noProof/>
                <w:webHidden/>
              </w:rPr>
              <w:tab/>
            </w:r>
            <w:r w:rsidR="00C55CB5">
              <w:rPr>
                <w:noProof/>
                <w:webHidden/>
              </w:rPr>
              <w:fldChar w:fldCharType="begin"/>
            </w:r>
            <w:r w:rsidR="00C55CB5">
              <w:rPr>
                <w:noProof/>
                <w:webHidden/>
              </w:rPr>
              <w:instrText xml:space="preserve"> PAGEREF _Toc107405264 \h </w:instrText>
            </w:r>
            <w:r w:rsidR="00C55CB5">
              <w:rPr>
                <w:noProof/>
                <w:webHidden/>
              </w:rPr>
            </w:r>
            <w:r w:rsidR="00C55CB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55CB5">
              <w:rPr>
                <w:noProof/>
                <w:webHidden/>
              </w:rPr>
              <w:fldChar w:fldCharType="end"/>
            </w:r>
          </w:hyperlink>
        </w:p>
        <w:p w14:paraId="5AC39CE0" w14:textId="4C98645B" w:rsidR="00C55CB5" w:rsidRDefault="003F470B">
          <w:pPr>
            <w:pStyle w:val="Obsah3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07405265" w:history="1">
            <w:r w:rsidR="00C55CB5" w:rsidRPr="00BB3A87">
              <w:rPr>
                <w:rStyle w:val="Hypertextovodkaz"/>
                <w:noProof/>
              </w:rPr>
              <w:t>b)</w:t>
            </w:r>
            <w:r w:rsidR="00C55CB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C55CB5" w:rsidRPr="00BB3A87">
              <w:rPr>
                <w:rStyle w:val="Hypertextovodkaz"/>
                <w:noProof/>
              </w:rPr>
              <w:t>Cíl přizpůsobování se změně klimatu a cíl udržitelné využívání a ochrana vodních zdrojů</w:t>
            </w:r>
            <w:r w:rsidR="00C55CB5">
              <w:rPr>
                <w:noProof/>
                <w:webHidden/>
              </w:rPr>
              <w:tab/>
            </w:r>
            <w:r w:rsidR="00C55CB5">
              <w:rPr>
                <w:noProof/>
                <w:webHidden/>
              </w:rPr>
              <w:fldChar w:fldCharType="begin"/>
            </w:r>
            <w:r w:rsidR="00C55CB5">
              <w:rPr>
                <w:noProof/>
                <w:webHidden/>
              </w:rPr>
              <w:instrText xml:space="preserve"> PAGEREF _Toc107405265 \h </w:instrText>
            </w:r>
            <w:r w:rsidR="00C55CB5">
              <w:rPr>
                <w:noProof/>
                <w:webHidden/>
              </w:rPr>
            </w:r>
            <w:r w:rsidR="00C55CB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55CB5">
              <w:rPr>
                <w:noProof/>
                <w:webHidden/>
              </w:rPr>
              <w:fldChar w:fldCharType="end"/>
            </w:r>
          </w:hyperlink>
        </w:p>
        <w:p w14:paraId="1D662AEC" w14:textId="22214B34" w:rsidR="00C55CB5" w:rsidRDefault="003F470B">
          <w:pPr>
            <w:pStyle w:val="Obsah3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07405266" w:history="1">
            <w:r w:rsidR="00C55CB5" w:rsidRPr="00BB3A87">
              <w:rPr>
                <w:rStyle w:val="Hypertextovodkaz"/>
                <w:noProof/>
              </w:rPr>
              <w:t>c)</w:t>
            </w:r>
            <w:r w:rsidR="00C55CB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C55CB5" w:rsidRPr="00BB3A87">
              <w:rPr>
                <w:rStyle w:val="Hypertextovodkaz"/>
                <w:noProof/>
              </w:rPr>
              <w:t>Cíl oběhové hospodářství</w:t>
            </w:r>
            <w:r w:rsidR="00C55CB5">
              <w:rPr>
                <w:noProof/>
                <w:webHidden/>
              </w:rPr>
              <w:tab/>
            </w:r>
            <w:r w:rsidR="00C55CB5">
              <w:rPr>
                <w:noProof/>
                <w:webHidden/>
              </w:rPr>
              <w:fldChar w:fldCharType="begin"/>
            </w:r>
            <w:r w:rsidR="00C55CB5">
              <w:rPr>
                <w:noProof/>
                <w:webHidden/>
              </w:rPr>
              <w:instrText xml:space="preserve"> PAGEREF _Toc107405266 \h </w:instrText>
            </w:r>
            <w:r w:rsidR="00C55CB5">
              <w:rPr>
                <w:noProof/>
                <w:webHidden/>
              </w:rPr>
            </w:r>
            <w:r w:rsidR="00C55CB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55CB5">
              <w:rPr>
                <w:noProof/>
                <w:webHidden/>
              </w:rPr>
              <w:fldChar w:fldCharType="end"/>
            </w:r>
          </w:hyperlink>
        </w:p>
        <w:p w14:paraId="738968A3" w14:textId="570D73E8" w:rsidR="00C55CB5" w:rsidRDefault="003F470B">
          <w:pPr>
            <w:pStyle w:val="Obsah3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07405267" w:history="1">
            <w:r w:rsidR="00C55CB5" w:rsidRPr="00BB3A87">
              <w:rPr>
                <w:rStyle w:val="Hypertextovodkaz"/>
                <w:noProof/>
              </w:rPr>
              <w:t>d)</w:t>
            </w:r>
            <w:r w:rsidR="00C55CB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C55CB5" w:rsidRPr="00BB3A87">
              <w:rPr>
                <w:rStyle w:val="Hypertextovodkaz"/>
                <w:noProof/>
              </w:rPr>
              <w:t>Cíl prevence a omezování znečištění</w:t>
            </w:r>
            <w:r w:rsidR="00C55CB5">
              <w:rPr>
                <w:noProof/>
                <w:webHidden/>
              </w:rPr>
              <w:tab/>
            </w:r>
            <w:r w:rsidR="00C55CB5">
              <w:rPr>
                <w:noProof/>
                <w:webHidden/>
              </w:rPr>
              <w:fldChar w:fldCharType="begin"/>
            </w:r>
            <w:r w:rsidR="00C55CB5">
              <w:rPr>
                <w:noProof/>
                <w:webHidden/>
              </w:rPr>
              <w:instrText xml:space="preserve"> PAGEREF _Toc107405267 \h </w:instrText>
            </w:r>
            <w:r w:rsidR="00C55CB5">
              <w:rPr>
                <w:noProof/>
                <w:webHidden/>
              </w:rPr>
            </w:r>
            <w:r w:rsidR="00C55CB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55CB5">
              <w:rPr>
                <w:noProof/>
                <w:webHidden/>
              </w:rPr>
              <w:fldChar w:fldCharType="end"/>
            </w:r>
          </w:hyperlink>
        </w:p>
        <w:p w14:paraId="79802B4C" w14:textId="238CCDD0" w:rsidR="00C55CB5" w:rsidRDefault="003F470B">
          <w:pPr>
            <w:pStyle w:val="Obsah3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cs-CZ"/>
            </w:rPr>
          </w:pPr>
          <w:hyperlink w:anchor="_Toc107405268" w:history="1">
            <w:r w:rsidR="00C55CB5" w:rsidRPr="00BB3A87">
              <w:rPr>
                <w:rStyle w:val="Hypertextovodkaz"/>
                <w:noProof/>
              </w:rPr>
              <w:t>e)</w:t>
            </w:r>
            <w:r w:rsidR="00C55CB5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cs-CZ"/>
              </w:rPr>
              <w:tab/>
            </w:r>
            <w:r w:rsidR="00C55CB5" w:rsidRPr="00BB3A87">
              <w:rPr>
                <w:rStyle w:val="Hypertextovodkaz"/>
                <w:noProof/>
              </w:rPr>
              <w:t>Cíl ochrana a obnova biologické rozmanitosti a ekosystémů</w:t>
            </w:r>
            <w:r w:rsidR="00C55CB5">
              <w:rPr>
                <w:noProof/>
                <w:webHidden/>
              </w:rPr>
              <w:tab/>
            </w:r>
            <w:r w:rsidR="00C55CB5">
              <w:rPr>
                <w:noProof/>
                <w:webHidden/>
              </w:rPr>
              <w:fldChar w:fldCharType="begin"/>
            </w:r>
            <w:r w:rsidR="00C55CB5">
              <w:rPr>
                <w:noProof/>
                <w:webHidden/>
              </w:rPr>
              <w:instrText xml:space="preserve"> PAGEREF _Toc107405268 \h </w:instrText>
            </w:r>
            <w:r w:rsidR="00C55CB5">
              <w:rPr>
                <w:noProof/>
                <w:webHidden/>
              </w:rPr>
            </w:r>
            <w:r w:rsidR="00C55CB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55CB5">
              <w:rPr>
                <w:noProof/>
                <w:webHidden/>
              </w:rPr>
              <w:fldChar w:fldCharType="end"/>
            </w:r>
          </w:hyperlink>
        </w:p>
        <w:p w14:paraId="450A0D00" w14:textId="4EA7B62A" w:rsidR="00C55CB5" w:rsidRDefault="003F470B">
          <w:pPr>
            <w:pStyle w:val="Obsah1"/>
            <w:rPr>
              <w:rFonts w:eastAsiaTheme="minorEastAsia" w:cstheme="minorBidi"/>
              <w:color w:val="auto"/>
              <w:lang w:eastAsia="cs-CZ"/>
            </w:rPr>
          </w:pPr>
          <w:hyperlink w:anchor="_Toc107405269" w:history="1">
            <w:r w:rsidR="00C55CB5" w:rsidRPr="00BB3A87">
              <w:rPr>
                <w:rStyle w:val="Hypertextovodkaz"/>
              </w:rPr>
              <w:t>4.</w:t>
            </w:r>
            <w:r w:rsidR="00C55CB5">
              <w:rPr>
                <w:rFonts w:eastAsiaTheme="minorEastAsia" w:cstheme="minorBidi"/>
                <w:color w:val="auto"/>
                <w:lang w:eastAsia="cs-CZ"/>
              </w:rPr>
              <w:tab/>
            </w:r>
            <w:r w:rsidR="00C55CB5" w:rsidRPr="00BB3A87">
              <w:rPr>
                <w:rStyle w:val="Hypertextovodkaz"/>
              </w:rPr>
              <w:t>Prohlášení žadatele:</w:t>
            </w:r>
            <w:r w:rsidR="00C55CB5">
              <w:rPr>
                <w:webHidden/>
              </w:rPr>
              <w:tab/>
            </w:r>
            <w:r w:rsidR="00C55CB5">
              <w:rPr>
                <w:webHidden/>
              </w:rPr>
              <w:fldChar w:fldCharType="begin"/>
            </w:r>
            <w:r w:rsidR="00C55CB5">
              <w:rPr>
                <w:webHidden/>
              </w:rPr>
              <w:instrText xml:space="preserve"> PAGEREF _Toc107405269 \h </w:instrText>
            </w:r>
            <w:r w:rsidR="00C55CB5">
              <w:rPr>
                <w:webHidden/>
              </w:rPr>
            </w:r>
            <w:r w:rsidR="00C55CB5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="00C55CB5">
              <w:rPr>
                <w:webHidden/>
              </w:rPr>
              <w:fldChar w:fldCharType="end"/>
            </w:r>
          </w:hyperlink>
        </w:p>
        <w:p w14:paraId="4DEFFE7C" w14:textId="2DA1A5B9" w:rsidR="00166AE0" w:rsidRDefault="00166AE0">
          <w:r>
            <w:rPr>
              <w:b/>
              <w:bCs/>
            </w:rPr>
            <w:fldChar w:fldCharType="end"/>
          </w:r>
        </w:p>
      </w:sdtContent>
    </w:sdt>
    <w:p w14:paraId="0D5226BF" w14:textId="77777777" w:rsidR="009343B7" w:rsidRDefault="009343B7" w:rsidP="00053FF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12052142" w14:textId="2C6D4230" w:rsidR="00C76415" w:rsidRPr="00B44A5C" w:rsidRDefault="00C76415" w:rsidP="00223CFF">
      <w:pPr>
        <w:pStyle w:val="Nadpis1"/>
        <w:pageBreakBefore/>
        <w:numPr>
          <w:ilvl w:val="0"/>
          <w:numId w:val="30"/>
        </w:numPr>
        <w:ind w:left="1077" w:hanging="357"/>
        <w:jc w:val="left"/>
        <w:rPr>
          <w:sz w:val="24"/>
          <w:szCs w:val="24"/>
        </w:rPr>
      </w:pPr>
      <w:bookmarkStart w:id="4" w:name="_Toc107405261"/>
      <w:r w:rsidRPr="00B44A5C">
        <w:rPr>
          <w:sz w:val="24"/>
          <w:szCs w:val="24"/>
        </w:rPr>
        <w:lastRenderedPageBreak/>
        <w:t>Identifikace projektu/</w:t>
      </w:r>
      <w:r w:rsidR="001D1E63" w:rsidRPr="00B44A5C">
        <w:rPr>
          <w:sz w:val="24"/>
          <w:szCs w:val="24"/>
        </w:rPr>
        <w:t>příjemce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445E4E" w:rsidRPr="004B7A0E" w14:paraId="0150EC95" w14:textId="77777777" w:rsidTr="00832986">
        <w:trPr>
          <w:trHeight w:val="575"/>
        </w:trPr>
        <w:tc>
          <w:tcPr>
            <w:tcW w:w="3539" w:type="dxa"/>
            <w:shd w:val="clear" w:color="auto" w:fill="auto"/>
          </w:tcPr>
          <w:p w14:paraId="1A526C9A" w14:textId="70276B6F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projektu a jeho</w:t>
            </w:r>
            <w:r w:rsidR="00832986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832986">
              <w:rPr>
                <w:rFonts w:asciiTheme="minorHAnsi" w:hAnsiTheme="minorHAnsi" w:cstheme="minorHAnsi"/>
                <w:color w:val="000000" w:themeColor="text1"/>
              </w:rPr>
              <w:t>identifikační číslo</w:t>
            </w:r>
          </w:p>
        </w:tc>
        <w:tc>
          <w:tcPr>
            <w:tcW w:w="5521" w:type="dxa"/>
            <w:shd w:val="clear" w:color="auto" w:fill="auto"/>
          </w:tcPr>
          <w:p w14:paraId="671D1B52" w14:textId="1439AF63" w:rsidR="00445E4E" w:rsidRPr="00832986" w:rsidRDefault="00445E4E" w:rsidP="00AD5774">
            <w:pPr>
              <w:rPr>
                <w:rFonts w:asciiTheme="minorHAnsi" w:hAnsiTheme="minorHAnsi" w:cstheme="minorHAnsi"/>
                <w:i/>
                <w:iCs/>
                <w:color w:val="00B050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 název projektu)</w:t>
            </w:r>
          </w:p>
          <w:p w14:paraId="02869D65" w14:textId="77777777" w:rsidR="00445E4E" w:rsidRPr="00832986" w:rsidRDefault="00445E4E" w:rsidP="00AD5774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445E4E" w:rsidRPr="004B7A0E" w14:paraId="505491C8" w14:textId="77777777" w:rsidTr="00832986">
        <w:trPr>
          <w:trHeight w:val="681"/>
        </w:trPr>
        <w:tc>
          <w:tcPr>
            <w:tcW w:w="3539" w:type="dxa"/>
            <w:shd w:val="clear" w:color="auto" w:fill="auto"/>
          </w:tcPr>
          <w:p w14:paraId="1890CF26" w14:textId="028C9500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programu</w:t>
            </w:r>
            <w:r w:rsidR="00B44A5C" w:rsidRPr="00832986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451C17" w:rsidRPr="00832986">
              <w:rPr>
                <w:rFonts w:asciiTheme="minorHAnsi" w:hAnsiTheme="minorHAnsi" w:cstheme="minorHAnsi"/>
                <w:color w:val="000000" w:themeColor="text1"/>
              </w:rPr>
              <w:t>název a</w:t>
            </w:r>
            <w:r w:rsidR="00B44A5C" w:rsidRPr="00832986">
              <w:rPr>
                <w:rFonts w:asciiTheme="minorHAnsi" w:hAnsiTheme="minorHAnsi" w:cstheme="minorHAnsi"/>
                <w:color w:val="000000" w:themeColor="text1"/>
              </w:rPr>
              <w:t xml:space="preserve"> číslo výzvy</w:t>
            </w:r>
          </w:p>
        </w:tc>
        <w:tc>
          <w:tcPr>
            <w:tcW w:w="5521" w:type="dxa"/>
            <w:shd w:val="clear" w:color="auto" w:fill="auto"/>
          </w:tcPr>
          <w:p w14:paraId="094327C6" w14:textId="0F838E1B" w:rsidR="004C4C9D" w:rsidRPr="00832986" w:rsidRDefault="004C4C9D" w:rsidP="004C4C9D">
            <w:pPr>
              <w:rPr>
                <w:rFonts w:asciiTheme="minorHAnsi" w:hAnsiTheme="minorHAnsi" w:cstheme="minorHAnsi"/>
                <w:color w:val="auto"/>
              </w:rPr>
            </w:pPr>
            <w:r w:rsidRPr="00832986">
              <w:rPr>
                <w:rFonts w:asciiTheme="minorHAnsi" w:hAnsiTheme="minorHAnsi" w:cstheme="minorHAnsi"/>
                <w:color w:val="auto"/>
              </w:rPr>
              <w:t>Národní plán obnovy – komponenta 3.3</w:t>
            </w:r>
          </w:p>
          <w:p w14:paraId="2F8D070F" w14:textId="21030E7C" w:rsidR="00445E4E" w:rsidRPr="00832986" w:rsidRDefault="004C4C9D" w:rsidP="00AD5774">
            <w:pPr>
              <w:rPr>
                <w:rFonts w:asciiTheme="minorHAnsi" w:hAnsiTheme="minorHAnsi" w:cstheme="minorHAnsi"/>
                <w:i/>
                <w:iCs/>
                <w:color w:val="00B050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 název a číslo výzvy)</w:t>
            </w:r>
          </w:p>
        </w:tc>
      </w:tr>
      <w:tr w:rsidR="00445E4E" w:rsidRPr="004B7A0E" w14:paraId="0160C740" w14:textId="77777777" w:rsidTr="00832986">
        <w:trPr>
          <w:trHeight w:val="539"/>
        </w:trPr>
        <w:tc>
          <w:tcPr>
            <w:tcW w:w="3539" w:type="dxa"/>
            <w:shd w:val="clear" w:color="auto" w:fill="auto"/>
          </w:tcPr>
          <w:p w14:paraId="4D2073EE" w14:textId="3A36EC26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žadatele</w:t>
            </w:r>
          </w:p>
        </w:tc>
        <w:tc>
          <w:tcPr>
            <w:tcW w:w="5521" w:type="dxa"/>
            <w:shd w:val="clear" w:color="auto" w:fill="auto"/>
          </w:tcPr>
          <w:p w14:paraId="710C5689" w14:textId="2172DEA7" w:rsidR="00445E4E" w:rsidRPr="00832986" w:rsidRDefault="004C4C9D" w:rsidP="00AD5774">
            <w:pPr>
              <w:rPr>
                <w:rFonts w:asciiTheme="minorHAnsi" w:hAnsiTheme="minorHAnsi" w:cstheme="minorHAnsi"/>
                <w:color w:val="00B050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(Doplnit)</w:t>
            </w:r>
          </w:p>
        </w:tc>
      </w:tr>
      <w:tr w:rsidR="00445E4E" w:rsidRPr="004B7A0E" w14:paraId="79CF1FD6" w14:textId="77777777" w:rsidTr="00832986">
        <w:tc>
          <w:tcPr>
            <w:tcW w:w="3539" w:type="dxa"/>
            <w:shd w:val="clear" w:color="auto" w:fill="auto"/>
          </w:tcPr>
          <w:p w14:paraId="06E4E81D" w14:textId="58A4CA3B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Identifikační údaje zpracovatele</w:t>
            </w:r>
          </w:p>
        </w:tc>
        <w:tc>
          <w:tcPr>
            <w:tcW w:w="5521" w:type="dxa"/>
            <w:shd w:val="clear" w:color="auto" w:fill="auto"/>
          </w:tcPr>
          <w:p w14:paraId="16A9592F" w14:textId="148BBBEB" w:rsidR="00445E4E" w:rsidRPr="00832986" w:rsidRDefault="004C4C9D" w:rsidP="00AD5774">
            <w:pPr>
              <w:rPr>
                <w:rFonts w:asciiTheme="minorHAnsi" w:hAnsiTheme="minorHAnsi" w:cstheme="minorHAnsi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(Doplnit)</w:t>
            </w:r>
          </w:p>
        </w:tc>
      </w:tr>
      <w:tr w:rsidR="00445E4E" w:rsidRPr="004B7A0E" w14:paraId="40177666" w14:textId="77777777" w:rsidTr="00832986">
        <w:tc>
          <w:tcPr>
            <w:tcW w:w="3539" w:type="dxa"/>
            <w:shd w:val="clear" w:color="auto" w:fill="auto"/>
          </w:tcPr>
          <w:p w14:paraId="39AE07DB" w14:textId="57557054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Datum zpracování</w:t>
            </w:r>
          </w:p>
        </w:tc>
        <w:tc>
          <w:tcPr>
            <w:tcW w:w="5521" w:type="dxa"/>
            <w:shd w:val="clear" w:color="auto" w:fill="auto"/>
          </w:tcPr>
          <w:p w14:paraId="647037BF" w14:textId="4ED48276" w:rsidR="00445E4E" w:rsidRPr="00832986" w:rsidRDefault="004C4C9D" w:rsidP="00AD5774">
            <w:pPr>
              <w:rPr>
                <w:rFonts w:asciiTheme="minorHAnsi" w:hAnsiTheme="minorHAnsi" w:cstheme="minorHAnsi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(Doplnit)</w:t>
            </w:r>
          </w:p>
        </w:tc>
      </w:tr>
    </w:tbl>
    <w:p w14:paraId="79939909" w14:textId="77777777" w:rsidR="00053FFE" w:rsidRPr="00B44A5C" w:rsidRDefault="00053FFE" w:rsidP="00B44A5C">
      <w:pPr>
        <w:rPr>
          <w:color w:val="1F4E79" w:themeColor="accent1" w:themeShade="80"/>
          <w:sz w:val="24"/>
          <w:szCs w:val="24"/>
        </w:rPr>
      </w:pPr>
    </w:p>
    <w:p w14:paraId="6284D84C" w14:textId="77777777" w:rsidR="00B44A5C" w:rsidRPr="00166AE0" w:rsidRDefault="00B44A5C" w:rsidP="00166AE0">
      <w:pPr>
        <w:pStyle w:val="Nadpis1"/>
        <w:numPr>
          <w:ilvl w:val="0"/>
          <w:numId w:val="30"/>
        </w:numPr>
        <w:jc w:val="left"/>
        <w:rPr>
          <w:sz w:val="24"/>
          <w:szCs w:val="24"/>
        </w:rPr>
      </w:pPr>
      <w:bookmarkStart w:id="5" w:name="_Toc107405262"/>
      <w:r w:rsidRPr="00166AE0">
        <w:rPr>
          <w:sz w:val="24"/>
          <w:szCs w:val="24"/>
        </w:rPr>
        <w:t>Posouzení činnosti:</w:t>
      </w:r>
      <w:bookmarkEnd w:id="5"/>
    </w:p>
    <w:p w14:paraId="1D6AC3FD" w14:textId="77777777" w:rsidR="00B44A5C" w:rsidRPr="00776A6A" w:rsidRDefault="00B44A5C" w:rsidP="00B44A5C">
      <w:pPr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Pokud činnost vyžaduje věcné posouzení, vyplňte tabulku č. 1 a 2.</w:t>
      </w:r>
    </w:p>
    <w:p w14:paraId="23ED755D" w14:textId="77777777" w:rsidR="00B44A5C" w:rsidRPr="00776A6A" w:rsidRDefault="00B44A5C" w:rsidP="00B44A5C">
      <w:pPr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Pokud činnost nevyžaduje věcné posouzení, vyplňte tabulku č. 1.</w:t>
      </w:r>
    </w:p>
    <w:p w14:paraId="67BC29F4" w14:textId="77777777" w:rsidR="00B44A5C" w:rsidRPr="00776A6A" w:rsidRDefault="00B44A5C" w:rsidP="00B44A5C">
      <w:pPr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38A2662F" w14:textId="77777777" w:rsidR="00B44A5C" w:rsidRPr="00776A6A" w:rsidRDefault="00B44A5C" w:rsidP="00B44A5C">
      <w:pPr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Pro posouzení činnosti vycházejte z: </w:t>
      </w:r>
    </w:p>
    <w:p w14:paraId="4936EC2B" w14:textId="77777777" w:rsidR="00B44A5C" w:rsidRPr="00776A6A" w:rsidRDefault="00B44A5C" w:rsidP="00A97B2B">
      <w:pPr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Metodického pokynu pro uplatňování zásady DNSH pro Národní plán obnovy na období 2021–2026</w:t>
      </w:r>
    </w:p>
    <w:p w14:paraId="5B0F1851" w14:textId="6C0AAF14" w:rsidR="00B44A5C" w:rsidRPr="00776A6A" w:rsidRDefault="00B44A5C" w:rsidP="00A97B2B">
      <w:pPr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dalších relevantních dokumentů EK stanovených Metodickým pokynem (zvláště pak Technických pokynů k uplatňování zásady „významně nepoškozovat“, </w:t>
      </w:r>
      <w:r w:rsidR="00094D12"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Technická screeningová kritéria pro přizpůsobování se změně klimatu </w:t>
      </w: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</w:rPr>
        <w:t>a Přílohy CID)</w:t>
      </w:r>
    </w:p>
    <w:p w14:paraId="70EB74DE" w14:textId="77777777" w:rsidR="00BB1529" w:rsidRPr="00776A6A" w:rsidRDefault="00BB1529" w:rsidP="00A97B2B">
      <w:pPr>
        <w:spacing w:after="0" w:line="240" w:lineRule="auto"/>
        <w:ind w:left="770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7B5AECDF" w14:textId="5A3C41C9" w:rsidR="00BB1529" w:rsidRPr="00776A6A" w:rsidRDefault="00BB1529" w:rsidP="005A4A55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Žadatel/Příjemce popíše, jakým způsobem u jednotlivých environmentálních cílů bude postupovat, aby významně nepoškodil životní prostředí. </w:t>
      </w:r>
    </w:p>
    <w:p w14:paraId="3A212EA5" w14:textId="77777777" w:rsidR="000D1A0C" w:rsidRDefault="000D1A0C" w:rsidP="00445E4E">
      <w:pPr>
        <w:rPr>
          <w:rFonts w:asciiTheme="minorHAnsi" w:hAnsiTheme="minorHAnsi" w:cstheme="minorHAnsi"/>
        </w:rPr>
      </w:pPr>
    </w:p>
    <w:p w14:paraId="743E8685" w14:textId="5B612DA6" w:rsidR="00445E4E" w:rsidRPr="00DC6537" w:rsidRDefault="00445E4E" w:rsidP="00445E4E">
      <w:pPr>
        <w:rPr>
          <w:rFonts w:asciiTheme="minorHAnsi" w:hAnsiTheme="minorHAnsi" w:cstheme="minorHAnsi"/>
          <w:b/>
          <w:bCs/>
          <w:color w:val="000000" w:themeColor="text1"/>
        </w:rPr>
      </w:pPr>
      <w:r w:rsidRPr="00DC6537">
        <w:rPr>
          <w:rFonts w:asciiTheme="minorHAnsi" w:hAnsiTheme="minorHAnsi" w:cstheme="minorHAnsi"/>
          <w:b/>
          <w:bCs/>
          <w:color w:val="000000" w:themeColor="text1"/>
        </w:rPr>
        <w:t>Tabulka č. 1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693"/>
        <w:gridCol w:w="644"/>
        <w:gridCol w:w="2916"/>
        <w:gridCol w:w="2969"/>
      </w:tblGrid>
      <w:tr w:rsidR="000D1A0C" w:rsidRPr="004B7A0E" w14:paraId="62822B0E" w14:textId="33B43263" w:rsidTr="004C4C9D">
        <w:tc>
          <w:tcPr>
            <w:tcW w:w="2546" w:type="dxa"/>
            <w:shd w:val="clear" w:color="auto" w:fill="auto"/>
          </w:tcPr>
          <w:p w14:paraId="1DBB9A46" w14:textId="1A52AAA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Uveďte, který z níže uvedených environmentálních cílů vyžaduje věcné posouzení </w:t>
            </w:r>
            <w:r>
              <w:rPr>
                <w:rFonts w:asciiTheme="minorHAnsi" w:hAnsiTheme="minorHAnsi" w:cstheme="minorHAnsi"/>
              </w:rPr>
              <w:t xml:space="preserve">činnosti </w:t>
            </w:r>
            <w:r w:rsidRPr="004B7A0E">
              <w:rPr>
                <w:rFonts w:asciiTheme="minorHAnsi" w:hAnsiTheme="minorHAnsi" w:cstheme="minorHAnsi"/>
              </w:rPr>
              <w:t>z hlediska zásady „významně nepoškozovat“.</w:t>
            </w:r>
          </w:p>
        </w:tc>
        <w:tc>
          <w:tcPr>
            <w:tcW w:w="693" w:type="dxa"/>
            <w:shd w:val="clear" w:color="auto" w:fill="auto"/>
          </w:tcPr>
          <w:p w14:paraId="411A2FF1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Ano</w:t>
            </w:r>
          </w:p>
          <w:p w14:paraId="24AE1974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46133601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Ne</w:t>
            </w:r>
          </w:p>
          <w:p w14:paraId="6A0BAD69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5D08884F" w14:textId="0FC967DA" w:rsidR="000D1A0C" w:rsidRPr="004B7A0E" w:rsidRDefault="00451C17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Odůvodnění</w:t>
            </w:r>
            <w:r>
              <w:rPr>
                <w:rFonts w:asciiTheme="minorHAnsi" w:hAnsiTheme="minorHAnsi" w:cstheme="minorHAnsi"/>
              </w:rPr>
              <w:t xml:space="preserve"> pro</w:t>
            </w:r>
            <w:r w:rsidR="001079C2">
              <w:rPr>
                <w:rFonts w:asciiTheme="minorHAnsi" w:hAnsiTheme="minorHAnsi" w:cstheme="minorHAnsi"/>
              </w:rPr>
              <w:t xml:space="preserve"> Dětské skupiny</w:t>
            </w:r>
          </w:p>
          <w:p w14:paraId="2B621F82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  <w:p w14:paraId="6E5F8BC6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69" w:type="dxa"/>
          </w:tcPr>
          <w:p w14:paraId="22FDD490" w14:textId="4684FDF6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Odůvodnění </w:t>
            </w:r>
            <w:r w:rsidR="001079C2">
              <w:rPr>
                <w:rFonts w:asciiTheme="minorHAnsi" w:hAnsiTheme="minorHAnsi" w:cstheme="minorHAnsi"/>
              </w:rPr>
              <w:t>pro Sociální infrastrukturu</w:t>
            </w:r>
          </w:p>
        </w:tc>
      </w:tr>
      <w:tr w:rsidR="000D1A0C" w:rsidRPr="004B7A0E" w14:paraId="23F6A43A" w14:textId="7ED04E8F" w:rsidTr="004C4C9D">
        <w:tc>
          <w:tcPr>
            <w:tcW w:w="2546" w:type="dxa"/>
            <w:shd w:val="clear" w:color="auto" w:fill="auto"/>
          </w:tcPr>
          <w:p w14:paraId="31FDDA6C" w14:textId="0DFF944D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Zmírňování klimatu </w:t>
            </w:r>
          </w:p>
        </w:tc>
        <w:tc>
          <w:tcPr>
            <w:tcW w:w="693" w:type="dxa"/>
            <w:shd w:val="clear" w:color="auto" w:fill="auto"/>
          </w:tcPr>
          <w:p w14:paraId="72B126D7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112BFC7F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5F824750" w14:textId="5DB22C96" w:rsidR="000D1A0C" w:rsidRPr="00DA4ACD" w:rsidRDefault="00451C17" w:rsidP="00AD53BC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4C4C9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jak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cílem.</w:t>
            </w:r>
          </w:p>
        </w:tc>
        <w:tc>
          <w:tcPr>
            <w:tcW w:w="2969" w:type="dxa"/>
          </w:tcPr>
          <w:p w14:paraId="1862B146" w14:textId="34374DEF" w:rsidR="000D1A0C" w:rsidRPr="00DA4ACD" w:rsidRDefault="00451C17" w:rsidP="004C4C9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jak 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cílem.</w:t>
            </w:r>
          </w:p>
        </w:tc>
      </w:tr>
      <w:tr w:rsidR="000D1A0C" w:rsidRPr="004B7A0E" w14:paraId="3DF995F6" w14:textId="1D377E82" w:rsidTr="004C4C9D">
        <w:tc>
          <w:tcPr>
            <w:tcW w:w="2546" w:type="dxa"/>
            <w:shd w:val="clear" w:color="auto" w:fill="auto"/>
          </w:tcPr>
          <w:p w14:paraId="48070895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Přizpůsobování se změně klimatu </w:t>
            </w:r>
          </w:p>
        </w:tc>
        <w:tc>
          <w:tcPr>
            <w:tcW w:w="693" w:type="dxa"/>
            <w:shd w:val="clear" w:color="auto" w:fill="auto"/>
          </w:tcPr>
          <w:p w14:paraId="50E108DB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641D9365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01AEDDA7" w14:textId="281AEF9F" w:rsidR="00AD53BC" w:rsidRPr="00AD53BC" w:rsidRDefault="00AD53BC" w:rsidP="00AD53BC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V případě fyzických stavebních </w:t>
            </w:r>
            <w:r w:rsidRPr="00492AB9">
              <w:rPr>
                <w:rFonts w:asciiTheme="minorHAnsi" w:hAnsiTheme="minorHAnsi" w:cstheme="minorHAnsi"/>
              </w:rPr>
              <w:t xml:space="preserve">investic s </w:t>
            </w:r>
            <w:r w:rsidR="00451C17" w:rsidRPr="00492AB9">
              <w:rPr>
                <w:rFonts w:asciiTheme="minorHAnsi" w:hAnsiTheme="minorHAnsi" w:cstheme="minorHAnsi"/>
              </w:rPr>
              <w:t>vyšší,</w:t>
            </w:r>
            <w:r w:rsidRPr="00492AB9">
              <w:rPr>
                <w:rFonts w:asciiTheme="minorHAnsi" w:hAnsiTheme="minorHAnsi" w:cstheme="minorHAnsi"/>
              </w:rPr>
              <w:t xml:space="preserve"> než </w:t>
            </w:r>
            <w:r w:rsidR="00451C17" w:rsidRPr="00492AB9">
              <w:rPr>
                <w:rFonts w:asciiTheme="minorHAnsi" w:hAnsiTheme="minorHAnsi" w:cstheme="minorHAnsi"/>
              </w:rPr>
              <w:t>10letou</w:t>
            </w:r>
            <w:r w:rsidRPr="00AD53BC">
              <w:rPr>
                <w:rFonts w:asciiTheme="minorHAnsi" w:hAnsiTheme="minorHAnsi" w:cstheme="minorHAnsi"/>
              </w:rPr>
              <w:t xml:space="preserve"> životností je proveden screening klimatických rizik a zohledněna opatření pro zajištění odolnosti investice vůči těmto rizikům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v souladu s Národním akčním </w:t>
            </w:r>
            <w:r w:rsidRPr="00AD53BC">
              <w:rPr>
                <w:rFonts w:asciiTheme="minorHAnsi" w:hAnsiTheme="minorHAnsi" w:cstheme="minorHAnsi"/>
              </w:rPr>
              <w:lastRenderedPageBreak/>
              <w:t xml:space="preserve">plánem adaptace na změnu klimatu. Investice budou zohledňovat riziko sucha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>a nebudou vystavena riziku snížené dostupnosti vody, eroze a nebudou z</w:t>
            </w:r>
            <w:r w:rsidR="00DA4ACD">
              <w:rPr>
                <w:rFonts w:asciiTheme="minorHAnsi" w:hAnsiTheme="minorHAnsi" w:cstheme="minorHAnsi"/>
              </w:rPr>
              <w:t>v</w:t>
            </w:r>
            <w:r w:rsidRPr="00AD53BC">
              <w:rPr>
                <w:rFonts w:asciiTheme="minorHAnsi" w:hAnsiTheme="minorHAnsi" w:cstheme="minorHAnsi"/>
              </w:rPr>
              <w:t>yšovat tlak na spotřebu vody v místě. Investice budou mít vysokou úroveň protipožární ochrany.</w:t>
            </w:r>
          </w:p>
          <w:p w14:paraId="2C7A052B" w14:textId="77777777" w:rsidR="00AD53BC" w:rsidRPr="00AD53BC" w:rsidRDefault="00AD53BC" w:rsidP="00AD53BC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Stavby budou používat vhodné materiály a konstrukci pro omezení vlivu povětrnostních podmínek a riziko poškození vlivem silného větru. </w:t>
            </w:r>
          </w:p>
          <w:p w14:paraId="6620876A" w14:textId="77777777" w:rsidR="000D1A0C" w:rsidRDefault="00AD53BC" w:rsidP="00AD53BC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>Investice budou obsahovat systém varování před rizikem pro zabránění škod vlivem projevu změny klimatu.</w:t>
            </w:r>
          </w:p>
          <w:p w14:paraId="2A10F4AC" w14:textId="77777777" w:rsidR="00DA4ACD" w:rsidRDefault="00DA4ACD" w:rsidP="00AD53BC">
            <w:pPr>
              <w:rPr>
                <w:rFonts w:asciiTheme="minorHAnsi" w:hAnsiTheme="minorHAnsi" w:cstheme="minorHAnsi"/>
              </w:rPr>
            </w:pPr>
          </w:p>
          <w:p w14:paraId="5DAC81BA" w14:textId="29C6730D" w:rsidR="00DA4ACD" w:rsidRPr="004B7A0E" w:rsidRDefault="00451C17" w:rsidP="00AD53BC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uvedeným.</w:t>
            </w:r>
          </w:p>
        </w:tc>
        <w:tc>
          <w:tcPr>
            <w:tcW w:w="2969" w:type="dxa"/>
          </w:tcPr>
          <w:p w14:paraId="63B453A4" w14:textId="1210B7AB" w:rsidR="00AD53BC" w:rsidRPr="00AD53BC" w:rsidRDefault="00AD53BC" w:rsidP="00AD53BC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lastRenderedPageBreak/>
              <w:t xml:space="preserve">V případě fyzických stavebních investic s </w:t>
            </w:r>
            <w:r w:rsidR="00451C17" w:rsidRPr="00AD53BC">
              <w:rPr>
                <w:rFonts w:asciiTheme="minorHAnsi" w:hAnsiTheme="minorHAnsi" w:cstheme="minorHAnsi"/>
              </w:rPr>
              <w:t>vyšší,</w:t>
            </w:r>
            <w:r w:rsidRPr="00AD53BC">
              <w:rPr>
                <w:rFonts w:asciiTheme="minorHAnsi" w:hAnsiTheme="minorHAnsi" w:cstheme="minorHAnsi"/>
              </w:rPr>
              <w:t xml:space="preserve"> než </w:t>
            </w:r>
            <w:r w:rsidR="00451C17" w:rsidRPr="00AD53BC">
              <w:rPr>
                <w:rFonts w:asciiTheme="minorHAnsi" w:hAnsiTheme="minorHAnsi" w:cstheme="minorHAnsi"/>
              </w:rPr>
              <w:t>10letou</w:t>
            </w:r>
            <w:r w:rsidRPr="00AD53BC">
              <w:rPr>
                <w:rFonts w:asciiTheme="minorHAnsi" w:hAnsiTheme="minorHAnsi" w:cstheme="minorHAnsi"/>
              </w:rPr>
              <w:t xml:space="preserve"> životností je proveden screening klimatických rizik a zohledněna opatření pro zajištění odolnosti investice vůči těmto rizikům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v souladu s Národním akčním </w:t>
            </w:r>
            <w:r w:rsidRPr="00AD53BC">
              <w:rPr>
                <w:rFonts w:asciiTheme="minorHAnsi" w:hAnsiTheme="minorHAnsi" w:cstheme="minorHAnsi"/>
              </w:rPr>
              <w:lastRenderedPageBreak/>
              <w:t xml:space="preserve">plánem adaptace na změnu klimatu. Investice budou zohledňovat riziko sucha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a nebudou vystavena riziku snížené dostupnosti vody, eroze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>a nebudou z</w:t>
            </w:r>
            <w:r w:rsidR="00DA4ACD">
              <w:rPr>
                <w:rFonts w:asciiTheme="minorHAnsi" w:hAnsiTheme="minorHAnsi" w:cstheme="minorHAnsi"/>
              </w:rPr>
              <w:t>v</w:t>
            </w:r>
            <w:r w:rsidRPr="00AD53BC">
              <w:rPr>
                <w:rFonts w:asciiTheme="minorHAnsi" w:hAnsiTheme="minorHAnsi" w:cstheme="minorHAnsi"/>
              </w:rPr>
              <w:t>yšovat tlak na spotřebu vody v místě. Investice budou mít vysokou úroveň protipožární ochrany.</w:t>
            </w:r>
          </w:p>
          <w:p w14:paraId="17F9A2A8" w14:textId="77777777" w:rsidR="00AD53BC" w:rsidRPr="00AD53BC" w:rsidRDefault="00AD53BC" w:rsidP="00AD53BC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Stavby budou používat vhodné materiály a konstrukci pro omezení vlivu povětrnostních podmínek a riziko poškození vlivem silného větru. </w:t>
            </w:r>
          </w:p>
          <w:p w14:paraId="0E485D38" w14:textId="77777777" w:rsidR="000D1A0C" w:rsidRDefault="00AD53BC" w:rsidP="00AD53BC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>Investice budou obsahovat systém varování před rizikem pro zabránění škod vlivem projevu změny klimatu.</w:t>
            </w:r>
          </w:p>
          <w:p w14:paraId="184C9A63" w14:textId="77777777" w:rsidR="00DA4ACD" w:rsidRDefault="00DA4ACD" w:rsidP="00CF3E04">
            <w:pPr>
              <w:ind w:left="177" w:hanging="177"/>
              <w:rPr>
                <w:rFonts w:asciiTheme="minorHAnsi" w:hAnsiTheme="minorHAnsi" w:cstheme="minorHAnsi"/>
                <w:highlight w:val="magenta"/>
              </w:rPr>
            </w:pPr>
          </w:p>
          <w:p w14:paraId="74FCFDEA" w14:textId="03C05A21" w:rsidR="00DA4ACD" w:rsidRPr="000D1A0C" w:rsidRDefault="00451C17" w:rsidP="00AD53BC">
            <w:pPr>
              <w:rPr>
                <w:rFonts w:asciiTheme="minorHAnsi" w:hAnsiTheme="minorHAnsi" w:cstheme="minorHAnsi"/>
                <w:highlight w:val="magenta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</w:tr>
      <w:tr w:rsidR="000D1A0C" w:rsidRPr="004B7A0E" w14:paraId="39DF7E84" w14:textId="28A5FF28" w:rsidTr="004C4C9D">
        <w:tc>
          <w:tcPr>
            <w:tcW w:w="2546" w:type="dxa"/>
            <w:shd w:val="clear" w:color="auto" w:fill="auto"/>
          </w:tcPr>
          <w:p w14:paraId="2AFACC98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>Udržitelné využívání a ochrana vodních a mořských zdrojů</w:t>
            </w:r>
          </w:p>
        </w:tc>
        <w:tc>
          <w:tcPr>
            <w:tcW w:w="693" w:type="dxa"/>
            <w:shd w:val="clear" w:color="auto" w:fill="auto"/>
          </w:tcPr>
          <w:p w14:paraId="7287AEF8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5A50526F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048162FB" w14:textId="4E83B047" w:rsidR="001206CA" w:rsidRPr="002A050C" w:rsidRDefault="00AD53BC" w:rsidP="00CF3E04">
            <w:pPr>
              <w:pStyle w:val="Odstavecseseznamem"/>
              <w:numPr>
                <w:ilvl w:val="0"/>
                <w:numId w:val="23"/>
              </w:numPr>
              <w:tabs>
                <w:tab w:val="left" w:pos="255"/>
              </w:tabs>
              <w:ind w:left="0" w:firstLine="0"/>
              <w:rPr>
                <w:rFonts w:asciiTheme="minorHAnsi" w:hAnsiTheme="minorHAnsi" w:cstheme="minorHAnsi"/>
              </w:rPr>
            </w:pPr>
            <w:r w:rsidRPr="002A050C">
              <w:rPr>
                <w:rFonts w:asciiTheme="minorHAnsi" w:hAnsiTheme="minorHAnsi" w:cstheme="minorHAnsi"/>
              </w:rPr>
              <w:t xml:space="preserve">Renovace </w:t>
            </w:r>
            <w:r w:rsidR="00451C17" w:rsidRPr="002A050C">
              <w:rPr>
                <w:rFonts w:asciiTheme="minorHAnsi" w:hAnsiTheme="minorHAnsi" w:cstheme="minorHAnsi"/>
              </w:rPr>
              <w:t>budov – spotřebiče</w:t>
            </w:r>
            <w:r w:rsidRPr="002A050C">
              <w:rPr>
                <w:rFonts w:asciiTheme="minorHAnsi" w:hAnsiTheme="minorHAnsi" w:cstheme="minorHAnsi"/>
              </w:rPr>
              <w:t xml:space="preserve"> vody budou v souladu s aktuálními standardy, které zajišťují, že se nebude jednat o nešetrné nakládání s vodami </w:t>
            </w:r>
            <w:r w:rsidR="005A4A55" w:rsidRPr="002A050C">
              <w:rPr>
                <w:rFonts w:asciiTheme="minorHAnsi" w:hAnsiTheme="minorHAnsi" w:cstheme="minorHAnsi"/>
              </w:rPr>
              <w:br/>
            </w:r>
            <w:r w:rsidRPr="002A050C">
              <w:rPr>
                <w:rFonts w:asciiTheme="minorHAnsi" w:hAnsiTheme="minorHAnsi" w:cstheme="minorHAnsi"/>
              </w:rPr>
              <w:t xml:space="preserve">a toto řešení nepovede ke zhoršení oproti stávajícímu stavu. </w:t>
            </w:r>
          </w:p>
          <w:p w14:paraId="67BC6F78" w14:textId="00BE152E" w:rsidR="000D1A0C" w:rsidRPr="002A050C" w:rsidRDefault="00AD53BC" w:rsidP="00CF3E04">
            <w:pPr>
              <w:pStyle w:val="Odstavecseseznamem"/>
              <w:numPr>
                <w:ilvl w:val="0"/>
                <w:numId w:val="23"/>
              </w:numPr>
              <w:tabs>
                <w:tab w:val="left" w:pos="255"/>
              </w:tabs>
              <w:ind w:left="0" w:firstLine="0"/>
              <w:rPr>
                <w:rFonts w:asciiTheme="minorHAnsi" w:hAnsiTheme="minorHAnsi" w:cstheme="minorHAnsi"/>
              </w:rPr>
            </w:pPr>
            <w:r w:rsidRPr="002A050C">
              <w:rPr>
                <w:rFonts w:asciiTheme="minorHAnsi" w:hAnsiTheme="minorHAnsi" w:cstheme="minorHAnsi"/>
              </w:rPr>
              <w:t xml:space="preserve"> Stavby </w:t>
            </w:r>
            <w:r w:rsidR="00451C17" w:rsidRPr="002A050C">
              <w:rPr>
                <w:rFonts w:asciiTheme="minorHAnsi" w:hAnsiTheme="minorHAnsi" w:cstheme="minorHAnsi"/>
              </w:rPr>
              <w:t>budov – spotřebiče</w:t>
            </w:r>
            <w:r w:rsidRPr="002A050C">
              <w:rPr>
                <w:rFonts w:asciiTheme="minorHAnsi" w:hAnsiTheme="minorHAnsi" w:cstheme="minorHAnsi"/>
              </w:rPr>
              <w:t xml:space="preserve"> vody</w:t>
            </w:r>
            <w:r w:rsidR="002129BB" w:rsidRPr="002A050C">
              <w:rPr>
                <w:rFonts w:asciiTheme="minorHAnsi" w:hAnsiTheme="minorHAnsi" w:cstheme="minorHAnsi"/>
              </w:rPr>
              <w:t xml:space="preserve"> </w:t>
            </w:r>
            <w:r w:rsidRPr="002A050C">
              <w:rPr>
                <w:rFonts w:asciiTheme="minorHAnsi" w:hAnsiTheme="minorHAnsi" w:cstheme="minorHAnsi"/>
              </w:rPr>
              <w:t>budou v souladu s aktuálními standardy, které zajišťují, že se nebude jednat o nešetrné nakládání s vodami a toto řešení nepovede ke zhoršení oproti stávajícímu stavu.</w:t>
            </w:r>
          </w:p>
          <w:p w14:paraId="56774D5B" w14:textId="104C4AF2" w:rsidR="00DA4ACD" w:rsidRPr="002A050C" w:rsidRDefault="00451C17" w:rsidP="00DA4ACD">
            <w:pPr>
              <w:rPr>
                <w:rFonts w:asciiTheme="minorHAnsi" w:hAnsiTheme="minorHAnsi" w:cstheme="minorHAnsi"/>
              </w:rPr>
            </w:pPr>
            <w:r w:rsidRPr="002A050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Doplňte,</w:t>
            </w:r>
            <w:r w:rsidR="00DA4ACD" w:rsidRPr="002A050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2A050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jak konkrétně</w:t>
            </w:r>
            <w:r w:rsidR="00DA4ACD" w:rsidRPr="002A050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uplatňujete zásadu DNSH v souvislosti s tímto cílem a v souladu s výše uvedeným</w:t>
            </w:r>
          </w:p>
        </w:tc>
        <w:tc>
          <w:tcPr>
            <w:tcW w:w="2969" w:type="dxa"/>
          </w:tcPr>
          <w:p w14:paraId="40A776BC" w14:textId="701171A4" w:rsidR="00DA4ACD" w:rsidRPr="002A050C" w:rsidRDefault="00AD53BC" w:rsidP="00CF3E04">
            <w:pPr>
              <w:pStyle w:val="Odstavecseseznamem"/>
              <w:numPr>
                <w:ilvl w:val="0"/>
                <w:numId w:val="24"/>
              </w:numPr>
              <w:tabs>
                <w:tab w:val="left" w:pos="35"/>
                <w:tab w:val="left" w:pos="319"/>
              </w:tabs>
              <w:ind w:left="35" w:firstLine="0"/>
              <w:rPr>
                <w:rFonts w:asciiTheme="minorHAnsi" w:hAnsiTheme="minorHAnsi" w:cstheme="minorHAnsi"/>
              </w:rPr>
            </w:pPr>
            <w:r w:rsidRPr="002A050C">
              <w:rPr>
                <w:rFonts w:asciiTheme="minorHAnsi" w:hAnsiTheme="minorHAnsi" w:cstheme="minorHAnsi"/>
              </w:rPr>
              <w:t xml:space="preserve">Renovace </w:t>
            </w:r>
            <w:r w:rsidR="00451C17" w:rsidRPr="002A050C">
              <w:rPr>
                <w:rFonts w:asciiTheme="minorHAnsi" w:hAnsiTheme="minorHAnsi" w:cstheme="minorHAnsi"/>
              </w:rPr>
              <w:t>budov – spotřebiče</w:t>
            </w:r>
            <w:r w:rsidRPr="002A050C">
              <w:rPr>
                <w:rFonts w:asciiTheme="minorHAnsi" w:hAnsiTheme="minorHAnsi" w:cstheme="minorHAnsi"/>
              </w:rPr>
              <w:t xml:space="preserve"> vody</w:t>
            </w:r>
            <w:r w:rsidR="002129BB" w:rsidRPr="002A050C">
              <w:rPr>
                <w:rFonts w:asciiTheme="minorHAnsi" w:hAnsiTheme="minorHAnsi" w:cstheme="minorHAnsi"/>
              </w:rPr>
              <w:t xml:space="preserve"> </w:t>
            </w:r>
            <w:r w:rsidRPr="002A050C">
              <w:rPr>
                <w:rFonts w:asciiTheme="minorHAnsi" w:hAnsiTheme="minorHAnsi" w:cstheme="minorHAnsi"/>
              </w:rPr>
              <w:t xml:space="preserve">budou v souladu s aktuálními standardy, které zajišťují, že se nebude jednat </w:t>
            </w:r>
            <w:r w:rsidR="005A4A55" w:rsidRPr="002A050C">
              <w:rPr>
                <w:rFonts w:asciiTheme="minorHAnsi" w:hAnsiTheme="minorHAnsi" w:cstheme="minorHAnsi"/>
              </w:rPr>
              <w:br/>
            </w:r>
            <w:r w:rsidRPr="002A050C">
              <w:rPr>
                <w:rFonts w:asciiTheme="minorHAnsi" w:hAnsiTheme="minorHAnsi" w:cstheme="minorHAnsi"/>
              </w:rPr>
              <w:t xml:space="preserve">o nešetrné nakládání </w:t>
            </w:r>
            <w:r w:rsidR="005A4A55" w:rsidRPr="002A050C">
              <w:rPr>
                <w:rFonts w:asciiTheme="minorHAnsi" w:hAnsiTheme="minorHAnsi" w:cstheme="minorHAnsi"/>
              </w:rPr>
              <w:br/>
            </w:r>
            <w:r w:rsidRPr="002A050C">
              <w:rPr>
                <w:rFonts w:asciiTheme="minorHAnsi" w:hAnsiTheme="minorHAnsi" w:cstheme="minorHAnsi"/>
              </w:rPr>
              <w:t>s vodami a toto řešení nepovede ke zhoršení oproti stávajícímu stavu.</w:t>
            </w:r>
          </w:p>
          <w:p w14:paraId="32D434C9" w14:textId="7713AB12" w:rsidR="00DA4ACD" w:rsidRPr="002A050C" w:rsidRDefault="00AD53BC" w:rsidP="00CF3E04">
            <w:pPr>
              <w:pStyle w:val="Odstavecseseznamem"/>
              <w:numPr>
                <w:ilvl w:val="0"/>
                <w:numId w:val="24"/>
              </w:numPr>
              <w:tabs>
                <w:tab w:val="left" w:pos="177"/>
                <w:tab w:val="left" w:pos="319"/>
              </w:tabs>
              <w:ind w:left="35" w:firstLine="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2A050C">
              <w:rPr>
                <w:rFonts w:asciiTheme="minorHAnsi" w:hAnsiTheme="minorHAnsi" w:cstheme="minorHAnsi"/>
              </w:rPr>
              <w:t xml:space="preserve"> Stavby </w:t>
            </w:r>
            <w:r w:rsidR="00451C17" w:rsidRPr="002A050C">
              <w:rPr>
                <w:rFonts w:asciiTheme="minorHAnsi" w:hAnsiTheme="minorHAnsi" w:cstheme="minorHAnsi"/>
              </w:rPr>
              <w:t>budov – spotřebiče</w:t>
            </w:r>
            <w:r w:rsidRPr="002A050C">
              <w:rPr>
                <w:rFonts w:asciiTheme="minorHAnsi" w:hAnsiTheme="minorHAnsi" w:cstheme="minorHAnsi"/>
              </w:rPr>
              <w:t xml:space="preserve"> vody</w:t>
            </w:r>
            <w:r w:rsidR="001206CA" w:rsidRPr="002A050C">
              <w:rPr>
                <w:rFonts w:asciiTheme="minorHAnsi" w:hAnsiTheme="minorHAnsi" w:cstheme="minorHAnsi"/>
              </w:rPr>
              <w:t xml:space="preserve"> </w:t>
            </w:r>
            <w:r w:rsidR="0024011D" w:rsidRPr="002A050C">
              <w:rPr>
                <w:rFonts w:asciiTheme="minorHAnsi" w:hAnsiTheme="minorHAnsi" w:cstheme="minorHAnsi"/>
              </w:rPr>
              <w:t>budou souladu</w:t>
            </w:r>
            <w:r w:rsidRPr="002A050C">
              <w:rPr>
                <w:rFonts w:asciiTheme="minorHAnsi" w:hAnsiTheme="minorHAnsi" w:cstheme="minorHAnsi"/>
              </w:rPr>
              <w:t xml:space="preserve"> s aktuálními standardy, které zajišťují, že se nebude jednat o nešetrné nakládání s vodami a toto řešení nepovede ke zhoršení oproti stávajícímu stavu.</w:t>
            </w:r>
          </w:p>
          <w:p w14:paraId="033A72D5" w14:textId="725A586C" w:rsidR="00DA4ACD" w:rsidRPr="002A050C" w:rsidRDefault="00451C17" w:rsidP="00DA4ACD">
            <w:pPr>
              <w:rPr>
                <w:rFonts w:asciiTheme="minorHAnsi" w:hAnsiTheme="minorHAnsi" w:cstheme="minorHAnsi"/>
              </w:rPr>
            </w:pPr>
            <w:r w:rsidRPr="002A050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Doplňte,</w:t>
            </w:r>
            <w:r w:rsidR="00DA4ACD" w:rsidRPr="002A050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2A050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jak konkrétně</w:t>
            </w:r>
            <w:r w:rsidR="00DA4ACD" w:rsidRPr="002A050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uplatňujete zásadu DNSH v souvislosti s tímto cílem a v souladu s výše uvedeným</w:t>
            </w:r>
          </w:p>
        </w:tc>
      </w:tr>
      <w:tr w:rsidR="000D1A0C" w:rsidRPr="004B7A0E" w14:paraId="1A151154" w14:textId="74540BED" w:rsidTr="004C4C9D">
        <w:tc>
          <w:tcPr>
            <w:tcW w:w="2546" w:type="dxa"/>
            <w:shd w:val="clear" w:color="auto" w:fill="auto"/>
          </w:tcPr>
          <w:p w14:paraId="4E055B5B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Oběhové hospodářství včetně předcházení vzniku odpadů a recyklace</w:t>
            </w:r>
          </w:p>
        </w:tc>
        <w:tc>
          <w:tcPr>
            <w:tcW w:w="693" w:type="dxa"/>
            <w:shd w:val="clear" w:color="auto" w:fill="auto"/>
          </w:tcPr>
          <w:p w14:paraId="3E8E7DE3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7B804068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0387717C" w14:textId="715030CC" w:rsidR="00DA4ACD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a) Renovace </w:t>
            </w:r>
            <w:r w:rsidR="002A050C" w:rsidRPr="00AD53BC">
              <w:rPr>
                <w:rFonts w:asciiTheme="minorHAnsi" w:hAnsiTheme="minorHAnsi" w:cstheme="minorHAnsi"/>
              </w:rPr>
              <w:t>budov</w:t>
            </w:r>
            <w:r w:rsidR="002A050C">
              <w:rPr>
                <w:rFonts w:asciiTheme="minorHAnsi" w:hAnsiTheme="minorHAnsi" w:cstheme="minorHAnsi"/>
              </w:rPr>
              <w:t xml:space="preserve"> </w:t>
            </w:r>
            <w:r w:rsidR="002A050C" w:rsidRPr="00AD53BC">
              <w:rPr>
                <w:rFonts w:asciiTheme="minorHAnsi" w:hAnsiTheme="minorHAnsi" w:cstheme="minorHAnsi"/>
              </w:rPr>
              <w:t>– v</w:t>
            </w:r>
            <w:r w:rsidRPr="00AD53BC">
              <w:rPr>
                <w:rFonts w:asciiTheme="minorHAnsi" w:hAnsiTheme="minorHAnsi" w:cstheme="minorHAnsi"/>
              </w:rPr>
              <w:t xml:space="preserve"> projektech bude využit také recyklovaný stavební materiál, bude zajištěno, že stavební materiál bude recyklovatelný po ukončení investice.   </w:t>
            </w:r>
          </w:p>
          <w:p w14:paraId="2ECD1204" w14:textId="30695CAC" w:rsidR="00DA4ACD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  b) Stavby </w:t>
            </w:r>
            <w:r w:rsidR="00776A6A" w:rsidRPr="00AD53BC">
              <w:rPr>
                <w:rFonts w:asciiTheme="minorHAnsi" w:hAnsiTheme="minorHAnsi" w:cstheme="minorHAnsi"/>
              </w:rPr>
              <w:t>budov</w:t>
            </w:r>
            <w:r w:rsidR="00776A6A">
              <w:rPr>
                <w:rFonts w:asciiTheme="minorHAnsi" w:hAnsiTheme="minorHAnsi" w:cstheme="minorHAnsi"/>
              </w:rPr>
              <w:t xml:space="preserve"> </w:t>
            </w:r>
            <w:r w:rsidR="00776A6A" w:rsidRPr="00AD53BC">
              <w:rPr>
                <w:rFonts w:asciiTheme="minorHAnsi" w:hAnsiTheme="minorHAnsi" w:cstheme="minorHAnsi"/>
              </w:rPr>
              <w:t>– v</w:t>
            </w:r>
            <w:r w:rsidRPr="00AD53BC">
              <w:rPr>
                <w:rFonts w:asciiTheme="minorHAnsi" w:hAnsiTheme="minorHAnsi" w:cstheme="minorHAnsi"/>
              </w:rPr>
              <w:t xml:space="preserve"> projektech bude využit také recyklovaný </w:t>
            </w:r>
            <w:r w:rsidRPr="00AD53BC">
              <w:rPr>
                <w:rFonts w:asciiTheme="minorHAnsi" w:hAnsiTheme="minorHAnsi" w:cstheme="minorHAnsi"/>
              </w:rPr>
              <w:lastRenderedPageBreak/>
              <w:t xml:space="preserve">stavební materiál, bude zajištěno, že stavební materiál bude recyklovatelný po ukončení investice.    </w:t>
            </w:r>
          </w:p>
          <w:p w14:paraId="7D21288B" w14:textId="77777777" w:rsidR="00DA4ACD" w:rsidRDefault="00DA4ACD" w:rsidP="00AD5774">
            <w:pPr>
              <w:rPr>
                <w:rFonts w:asciiTheme="minorHAnsi" w:hAnsiTheme="minorHAnsi" w:cstheme="minorHAnsi"/>
              </w:rPr>
            </w:pPr>
          </w:p>
          <w:p w14:paraId="09E7F9E7" w14:textId="77777777" w:rsidR="00DA4ACD" w:rsidRDefault="00DA4ACD" w:rsidP="00AD5774">
            <w:pPr>
              <w:rPr>
                <w:rFonts w:asciiTheme="minorHAnsi" w:hAnsiTheme="minorHAnsi" w:cstheme="minorHAnsi"/>
              </w:rPr>
            </w:pPr>
          </w:p>
          <w:p w14:paraId="016CA7EB" w14:textId="77777777" w:rsidR="00451C17" w:rsidRDefault="00451C17" w:rsidP="00AD5774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</w:p>
          <w:p w14:paraId="08166A0F" w14:textId="77777777" w:rsidR="00451C17" w:rsidRDefault="00451C17" w:rsidP="00AD5774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</w:p>
          <w:p w14:paraId="240F1224" w14:textId="77777777" w:rsidR="00451C17" w:rsidRDefault="00451C17" w:rsidP="00AD5774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</w:p>
          <w:p w14:paraId="0233D8E9" w14:textId="7137BB81" w:rsidR="000D1A0C" w:rsidRPr="004B7A0E" w:rsidRDefault="00451C17" w:rsidP="00AD5774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  <w:r w:rsidR="00AD53BC" w:rsidRPr="00AD53B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969" w:type="dxa"/>
          </w:tcPr>
          <w:p w14:paraId="22763A9B" w14:textId="706A8A23" w:rsidR="00DA4ACD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lastRenderedPageBreak/>
              <w:t xml:space="preserve">a) Renovace </w:t>
            </w:r>
            <w:r w:rsidR="00E41091" w:rsidRPr="00AD53BC">
              <w:rPr>
                <w:rFonts w:asciiTheme="minorHAnsi" w:hAnsiTheme="minorHAnsi" w:cstheme="minorHAnsi"/>
              </w:rPr>
              <w:t>budov</w:t>
            </w:r>
            <w:r w:rsidR="00E41091">
              <w:rPr>
                <w:rFonts w:asciiTheme="minorHAnsi" w:hAnsiTheme="minorHAnsi" w:cstheme="minorHAnsi"/>
              </w:rPr>
              <w:t xml:space="preserve"> </w:t>
            </w:r>
            <w:r w:rsidR="00E41091" w:rsidRPr="00AD53BC">
              <w:rPr>
                <w:rFonts w:asciiTheme="minorHAnsi" w:hAnsiTheme="minorHAnsi" w:cstheme="minorHAnsi"/>
              </w:rPr>
              <w:t>– v</w:t>
            </w:r>
            <w:r w:rsidRPr="00AD53BC">
              <w:rPr>
                <w:rFonts w:asciiTheme="minorHAnsi" w:hAnsiTheme="minorHAnsi" w:cstheme="minorHAnsi"/>
              </w:rPr>
              <w:t xml:space="preserve"> projektech bude využit také recyklovaný stavební materiál, bude zajištěno, že stavební materiál bude recyklovatelný po ukončení investice.   </w:t>
            </w:r>
          </w:p>
          <w:p w14:paraId="27DF98C7" w14:textId="29B4B5B7" w:rsidR="00647E18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  b) Stavby </w:t>
            </w:r>
            <w:r w:rsidR="00776A6A" w:rsidRPr="00AD53BC">
              <w:rPr>
                <w:rFonts w:asciiTheme="minorHAnsi" w:hAnsiTheme="minorHAnsi" w:cstheme="minorHAnsi"/>
              </w:rPr>
              <w:t>budov</w:t>
            </w:r>
            <w:r w:rsidR="00776A6A">
              <w:rPr>
                <w:rFonts w:asciiTheme="minorHAnsi" w:hAnsiTheme="minorHAnsi" w:cstheme="minorHAnsi"/>
              </w:rPr>
              <w:t xml:space="preserve"> </w:t>
            </w:r>
            <w:r w:rsidR="00776A6A" w:rsidRPr="00AD53BC">
              <w:rPr>
                <w:rFonts w:asciiTheme="minorHAnsi" w:hAnsiTheme="minorHAnsi" w:cstheme="minorHAnsi"/>
              </w:rPr>
              <w:t>– v</w:t>
            </w:r>
            <w:r w:rsidRPr="00AD53BC">
              <w:rPr>
                <w:rFonts w:asciiTheme="minorHAnsi" w:hAnsiTheme="minorHAnsi" w:cstheme="minorHAnsi"/>
              </w:rPr>
              <w:t xml:space="preserve"> projektech bude využit také recyklovaný </w:t>
            </w:r>
            <w:r w:rsidRPr="00AD53BC">
              <w:rPr>
                <w:rFonts w:asciiTheme="minorHAnsi" w:hAnsiTheme="minorHAnsi" w:cstheme="minorHAnsi"/>
              </w:rPr>
              <w:lastRenderedPageBreak/>
              <w:t xml:space="preserve">stavební materiál, bude zajištěno, že stavební materiál bude recyklovatelný po ukončení investice.  </w:t>
            </w:r>
          </w:p>
          <w:p w14:paraId="32403497" w14:textId="2C678014" w:rsidR="000D1A0C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  c) Nákup elektromobilů a aut na vodíkový pohon-investice zajistí řádnou likvidaci vozidel dle požadavků daných legislativou na autovraky, a tedy i řádnou recyklaci daných částí vozidel,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a řádnou likvidaci např. baterií.  </w:t>
            </w:r>
          </w:p>
          <w:p w14:paraId="575A65EE" w14:textId="01950AF5" w:rsidR="00DA4ACD" w:rsidRPr="004B7A0E" w:rsidRDefault="00451C17" w:rsidP="00AD5774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</w:tr>
      <w:tr w:rsidR="000D1A0C" w:rsidRPr="004B7A0E" w14:paraId="422887D0" w14:textId="42053C58" w:rsidTr="004C4C9D">
        <w:tc>
          <w:tcPr>
            <w:tcW w:w="2546" w:type="dxa"/>
            <w:shd w:val="clear" w:color="auto" w:fill="auto"/>
          </w:tcPr>
          <w:p w14:paraId="35467D37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>Prevence a omezování znečištění ovzduší, vody nebo krajiny</w:t>
            </w:r>
          </w:p>
        </w:tc>
        <w:tc>
          <w:tcPr>
            <w:tcW w:w="693" w:type="dxa"/>
            <w:shd w:val="clear" w:color="auto" w:fill="auto"/>
          </w:tcPr>
          <w:p w14:paraId="6C3E6C36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31CA4D87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605B6096" w14:textId="2917D5B1" w:rsidR="00384DD8" w:rsidRPr="00384DD8" w:rsidRDefault="00384DD8" w:rsidP="00651EBC">
            <w:pPr>
              <w:pStyle w:val="Odstavecseseznamem"/>
              <w:numPr>
                <w:ilvl w:val="0"/>
                <w:numId w:val="25"/>
              </w:numPr>
              <w:ind w:left="0" w:firstLine="0"/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 xml:space="preserve">Rekonstrukce budov-Investice neobsahuje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a nebude využívat nebezpečné látky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>a chemikálie a látky vzbuzující mimořádnou obavu dle</w:t>
            </w:r>
            <w:r w:rsidR="00451C17">
              <w:rPr>
                <w:rFonts w:asciiTheme="minorHAnsi" w:hAnsiTheme="minorHAnsi" w:cstheme="minorHAnsi"/>
              </w:rPr>
              <w:t xml:space="preserve"> </w:t>
            </w:r>
            <w:r w:rsidRPr="00384DD8">
              <w:rPr>
                <w:rFonts w:asciiTheme="minorHAnsi" w:hAnsiTheme="minorHAnsi" w:cstheme="minorHAnsi"/>
              </w:rPr>
              <w:t xml:space="preserve">REACH. Zejména nebude využit azbest při výstavbě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a rekonstrukcích budov a bude zajištěna jeho řádné odstranění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u starších staveb. Zároveň v případě renovací nebudou materiály vypouštět do obývaného prostředí více než 0,06 mg formaldehydu na m3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a 0,001 mg na m3 karcinogenních těkavých organických látek kategorie </w:t>
            </w:r>
            <w:r w:rsidR="001206CA" w:rsidRPr="00384DD8">
              <w:rPr>
                <w:rFonts w:asciiTheme="minorHAnsi" w:hAnsiTheme="minorHAnsi" w:cstheme="minorHAnsi"/>
              </w:rPr>
              <w:t>1 A</w:t>
            </w:r>
            <w:r w:rsidRPr="00384DD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84DD8">
              <w:rPr>
                <w:rFonts w:asciiTheme="minorHAnsi" w:hAnsiTheme="minorHAnsi" w:cstheme="minorHAnsi"/>
              </w:rPr>
              <w:t>a</w:t>
            </w:r>
            <w:proofErr w:type="spellEnd"/>
            <w:r w:rsidRPr="00384DD8">
              <w:rPr>
                <w:rFonts w:asciiTheme="minorHAnsi" w:hAnsiTheme="minorHAnsi" w:cstheme="minorHAnsi"/>
              </w:rPr>
              <w:t xml:space="preserve"> </w:t>
            </w:r>
            <w:r w:rsidR="001206CA" w:rsidRPr="00384DD8">
              <w:rPr>
                <w:rFonts w:asciiTheme="minorHAnsi" w:hAnsiTheme="minorHAnsi" w:cstheme="minorHAnsi"/>
              </w:rPr>
              <w:t>1 B</w:t>
            </w:r>
            <w:r w:rsidRPr="00384DD8">
              <w:rPr>
                <w:rFonts w:asciiTheme="minorHAnsi" w:hAnsiTheme="minorHAnsi" w:cstheme="minorHAnsi"/>
              </w:rPr>
              <w:t xml:space="preserve">. </w:t>
            </w:r>
          </w:p>
          <w:p w14:paraId="33105FE2" w14:textId="21ACFF2F" w:rsidR="00384DD8" w:rsidRPr="00384DD8" w:rsidRDefault="00384DD8" w:rsidP="00DF69F0">
            <w:pPr>
              <w:pStyle w:val="Odstavecseseznamem"/>
              <w:numPr>
                <w:ilvl w:val="0"/>
                <w:numId w:val="25"/>
              </w:numPr>
              <w:tabs>
                <w:tab w:val="left" w:pos="255"/>
              </w:tabs>
              <w:ind w:left="-27" w:firstLine="0"/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 xml:space="preserve">Stavba </w:t>
            </w:r>
            <w:r w:rsidR="00451C17" w:rsidRPr="00384DD8">
              <w:rPr>
                <w:rFonts w:asciiTheme="minorHAnsi" w:hAnsiTheme="minorHAnsi" w:cstheme="minorHAnsi"/>
              </w:rPr>
              <w:t>budov – Investice</w:t>
            </w:r>
            <w:r w:rsidRPr="00384DD8">
              <w:rPr>
                <w:rFonts w:asciiTheme="minorHAnsi" w:hAnsiTheme="minorHAnsi" w:cstheme="minorHAnsi"/>
              </w:rPr>
              <w:t xml:space="preserve"> neobsahuje a nebude využívat nebezpečné látky a chemikálie a látky vzbuzující mimořádnou obavu dle REACH. Zejména nebude využit azbest při výstavbě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a rekonstrukcích budov a bude zajištěna jeho řádné odstranění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u starších staveb. Zároveň v případě renovací nebudou materiály vypouštět do obývaného prostředí více než 0,06 mg formaldehydu na m3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a 0,001 mg na m3 karcinogenních těkavých organických látek kategorie </w:t>
            </w:r>
            <w:r w:rsidR="001206CA" w:rsidRPr="00384DD8">
              <w:rPr>
                <w:rFonts w:asciiTheme="minorHAnsi" w:hAnsiTheme="minorHAnsi" w:cstheme="minorHAnsi"/>
              </w:rPr>
              <w:t>1 A</w:t>
            </w:r>
            <w:r w:rsidRPr="00384DD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84DD8">
              <w:rPr>
                <w:rFonts w:asciiTheme="minorHAnsi" w:hAnsiTheme="minorHAnsi" w:cstheme="minorHAnsi"/>
              </w:rPr>
              <w:t>a</w:t>
            </w:r>
            <w:proofErr w:type="spellEnd"/>
            <w:r w:rsidRPr="00384DD8">
              <w:rPr>
                <w:rFonts w:asciiTheme="minorHAnsi" w:hAnsiTheme="minorHAnsi" w:cstheme="minorHAnsi"/>
              </w:rPr>
              <w:t xml:space="preserve"> </w:t>
            </w:r>
            <w:r w:rsidR="001206CA" w:rsidRPr="00384DD8">
              <w:rPr>
                <w:rFonts w:asciiTheme="minorHAnsi" w:hAnsiTheme="minorHAnsi" w:cstheme="minorHAnsi"/>
              </w:rPr>
              <w:t>1 B</w:t>
            </w:r>
            <w:r w:rsidRPr="00384DD8">
              <w:rPr>
                <w:rFonts w:asciiTheme="minorHAnsi" w:hAnsiTheme="minorHAnsi" w:cstheme="minorHAnsi"/>
              </w:rPr>
              <w:t>.</w:t>
            </w:r>
          </w:p>
          <w:p w14:paraId="75C13786" w14:textId="3F9FF5F1" w:rsidR="00384DD8" w:rsidRPr="00384DD8" w:rsidRDefault="00384DD8" w:rsidP="00DF69F0">
            <w:pPr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 xml:space="preserve">Tam, kde se nová stavba nachází na potenciálně kontaminovaném </w:t>
            </w:r>
            <w:r w:rsidRPr="00384DD8">
              <w:rPr>
                <w:rFonts w:asciiTheme="minorHAnsi" w:hAnsiTheme="minorHAnsi" w:cstheme="minorHAnsi"/>
              </w:rPr>
              <w:lastRenderedPageBreak/>
              <w:t xml:space="preserve">místě (brownfield </w:t>
            </w:r>
            <w:r w:rsidR="00451C17" w:rsidRPr="00384DD8">
              <w:rPr>
                <w:rFonts w:asciiTheme="minorHAnsi" w:hAnsiTheme="minorHAnsi" w:cstheme="minorHAnsi"/>
              </w:rPr>
              <w:t>sítě</w:t>
            </w:r>
            <w:r w:rsidRPr="00384DD8">
              <w:rPr>
                <w:rFonts w:asciiTheme="minorHAnsi" w:hAnsiTheme="minorHAnsi" w:cstheme="minorHAnsi"/>
              </w:rPr>
              <w:t xml:space="preserve">), bylo toto místo podrobeno šetření na potenciální kontaminanty, například pomocí normy ISO 18400. Jsou přijata opatření ke snížení hluku, prachu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>a emisí znečišťujících látek během výstavby nebo údržby.</w:t>
            </w:r>
          </w:p>
          <w:p w14:paraId="390CFBE6" w14:textId="57FA3439" w:rsidR="000D1A0C" w:rsidRPr="00384DD8" w:rsidRDefault="00384DD8" w:rsidP="00384DD8">
            <w:pPr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 xml:space="preserve"> </w:t>
            </w:r>
            <w:r w:rsidR="00451C17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451C17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 w:rsidR="00451C17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  <w:tc>
          <w:tcPr>
            <w:tcW w:w="2969" w:type="dxa"/>
          </w:tcPr>
          <w:p w14:paraId="6035725C" w14:textId="1C8D5986" w:rsidR="00384DD8" w:rsidRDefault="00384DD8" w:rsidP="00AD5774">
            <w:pPr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lastRenderedPageBreak/>
              <w:t xml:space="preserve">a) Rekonstrukce budov-Investice neobsahuje a nebude využívat nebezpečné látky a chemikálie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a látky vzbuzující mimořádnou obavu dle REACH. Zejména nebude využit azbest při výstavbě a rekonstrukcích budov a bude zajištěna jeho řádné odstranění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u starších staveb. Zároveň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v případě renovací nebudou materiály vypouštět do obývaného prostředí více než 0,06 mg formaldehydu na m3 a 0,001 mg na m3 karcinogenních těkavých organických látek kategorie </w:t>
            </w:r>
            <w:r w:rsidR="00F029FF" w:rsidRPr="00384DD8">
              <w:rPr>
                <w:rFonts w:asciiTheme="minorHAnsi" w:hAnsiTheme="minorHAnsi" w:cstheme="minorHAnsi"/>
              </w:rPr>
              <w:t>1 A</w:t>
            </w:r>
            <w:r w:rsidRPr="00384DD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84DD8">
              <w:rPr>
                <w:rFonts w:asciiTheme="minorHAnsi" w:hAnsiTheme="minorHAnsi" w:cstheme="minorHAnsi"/>
              </w:rPr>
              <w:t>a</w:t>
            </w:r>
            <w:proofErr w:type="spellEnd"/>
            <w:r w:rsidRPr="00384DD8">
              <w:rPr>
                <w:rFonts w:asciiTheme="minorHAnsi" w:hAnsiTheme="minorHAnsi" w:cstheme="minorHAnsi"/>
              </w:rPr>
              <w:t xml:space="preserve"> </w:t>
            </w:r>
            <w:r w:rsidR="00F029FF" w:rsidRPr="00384DD8">
              <w:rPr>
                <w:rFonts w:asciiTheme="minorHAnsi" w:hAnsiTheme="minorHAnsi" w:cstheme="minorHAnsi"/>
              </w:rPr>
              <w:t>1 B</w:t>
            </w:r>
            <w:r w:rsidRPr="00384DD8">
              <w:rPr>
                <w:rFonts w:asciiTheme="minorHAnsi" w:hAnsiTheme="minorHAnsi" w:cstheme="minorHAnsi"/>
              </w:rPr>
              <w:t xml:space="preserve">. </w:t>
            </w:r>
          </w:p>
          <w:p w14:paraId="756FB100" w14:textId="4DAF80D2" w:rsidR="00384DD8" w:rsidRDefault="00384DD8" w:rsidP="00AD5774">
            <w:pPr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 xml:space="preserve"> b) Stavba </w:t>
            </w:r>
            <w:r w:rsidR="00451C17" w:rsidRPr="00384DD8">
              <w:rPr>
                <w:rFonts w:asciiTheme="minorHAnsi" w:hAnsiTheme="minorHAnsi" w:cstheme="minorHAnsi"/>
              </w:rPr>
              <w:t>budov – Investice</w:t>
            </w:r>
            <w:r w:rsidRPr="00384DD8">
              <w:rPr>
                <w:rFonts w:asciiTheme="minorHAnsi" w:hAnsiTheme="minorHAnsi" w:cstheme="minorHAnsi"/>
              </w:rPr>
              <w:t xml:space="preserve"> neobsahuje a nebude využívat nebezpečné látky a chemikálie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>a látky vzbuzující mimořádnou obavu dle REACH. Zejména nebude využit azbest při výstavbě a rekonstrukcích budov a bude zajištěna jeho řádné odstranění</w:t>
            </w:r>
            <w:r w:rsidR="00A97B2B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u starších staveb. Zároveň </w:t>
            </w:r>
            <w:r w:rsidR="00A97B2B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>v případě renovací nebudou materiály vypouštět do obývaného prostředí více než 0,06 mg formaldehydu na m3 a 0,001 mg na m3 karcinogenních těkavých organických látek kategorie</w:t>
            </w:r>
            <w:r w:rsidR="001206CA">
              <w:rPr>
                <w:rFonts w:asciiTheme="minorHAnsi" w:hAnsiTheme="minorHAnsi" w:cstheme="minorHAnsi"/>
              </w:rPr>
              <w:t xml:space="preserve"> </w:t>
            </w:r>
            <w:r w:rsidR="001206CA" w:rsidRPr="00384DD8">
              <w:rPr>
                <w:rFonts w:asciiTheme="minorHAnsi" w:hAnsiTheme="minorHAnsi" w:cstheme="minorHAnsi"/>
              </w:rPr>
              <w:t>1 A</w:t>
            </w:r>
            <w:r w:rsidRPr="00384DD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84DD8">
              <w:rPr>
                <w:rFonts w:asciiTheme="minorHAnsi" w:hAnsiTheme="minorHAnsi" w:cstheme="minorHAnsi"/>
              </w:rPr>
              <w:t>a</w:t>
            </w:r>
            <w:proofErr w:type="spellEnd"/>
            <w:r w:rsidRPr="00384DD8">
              <w:rPr>
                <w:rFonts w:asciiTheme="minorHAnsi" w:hAnsiTheme="minorHAnsi" w:cstheme="minorHAnsi"/>
              </w:rPr>
              <w:t xml:space="preserve"> </w:t>
            </w:r>
            <w:r w:rsidR="001206CA" w:rsidRPr="00384DD8">
              <w:rPr>
                <w:rFonts w:asciiTheme="minorHAnsi" w:hAnsiTheme="minorHAnsi" w:cstheme="minorHAnsi"/>
              </w:rPr>
              <w:t>1 B</w:t>
            </w:r>
            <w:r w:rsidRPr="00384DD8">
              <w:rPr>
                <w:rFonts w:asciiTheme="minorHAnsi" w:hAnsiTheme="minorHAnsi" w:cstheme="minorHAnsi"/>
              </w:rPr>
              <w:t>.</w:t>
            </w:r>
          </w:p>
          <w:p w14:paraId="49BAFBCB" w14:textId="236A4261" w:rsidR="00384DD8" w:rsidRPr="00384DD8" w:rsidRDefault="00384DD8" w:rsidP="00CF3E04">
            <w:pPr>
              <w:ind w:left="35" w:hanging="35"/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 xml:space="preserve"> Tam, kde se nová stavba nachází na potenciálně kontaminovaném místě (brownfield </w:t>
            </w:r>
            <w:r w:rsidR="00451C17" w:rsidRPr="00384DD8">
              <w:rPr>
                <w:rFonts w:asciiTheme="minorHAnsi" w:hAnsiTheme="minorHAnsi" w:cstheme="minorHAnsi"/>
              </w:rPr>
              <w:t>sítě</w:t>
            </w:r>
            <w:r w:rsidRPr="00384DD8">
              <w:rPr>
                <w:rFonts w:asciiTheme="minorHAnsi" w:hAnsiTheme="minorHAnsi" w:cstheme="minorHAnsi"/>
              </w:rPr>
              <w:t xml:space="preserve">), bylo toto místo podrobeno šetření na </w:t>
            </w:r>
            <w:r w:rsidRPr="00384DD8">
              <w:rPr>
                <w:rFonts w:asciiTheme="minorHAnsi" w:hAnsiTheme="minorHAnsi" w:cstheme="minorHAnsi"/>
              </w:rPr>
              <w:lastRenderedPageBreak/>
              <w:t xml:space="preserve">potenciální kontaminanty, například pomocí normy ISO 18400. Jsou přijata opatření ke snížení hluku, prachu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>a emisí znečišťujících látek během výstavby nebo údržby.</w:t>
            </w:r>
          </w:p>
          <w:p w14:paraId="14386C25" w14:textId="255A7A6E" w:rsidR="00384DD8" w:rsidRDefault="00384DD8" w:rsidP="00AD5774">
            <w:pPr>
              <w:rPr>
                <w:rFonts w:asciiTheme="minorHAnsi" w:hAnsiTheme="minorHAnsi" w:cstheme="minorHAnsi"/>
              </w:rPr>
            </w:pPr>
          </w:p>
          <w:p w14:paraId="468F2D83" w14:textId="60EDCDC8" w:rsidR="00384DD8" w:rsidRDefault="00384DD8" w:rsidP="00CF3E04">
            <w:pPr>
              <w:pStyle w:val="Bezmezer"/>
              <w:numPr>
                <w:ilvl w:val="0"/>
                <w:numId w:val="25"/>
              </w:numPr>
              <w:tabs>
                <w:tab w:val="left" w:pos="35"/>
                <w:tab w:val="left" w:pos="177"/>
              </w:tabs>
              <w:ind w:left="0" w:firstLine="0"/>
              <w:rPr>
                <w:rFonts w:asciiTheme="minorHAnsi" w:hAnsiTheme="minorHAnsi" w:cstheme="minorHAnsi"/>
              </w:rPr>
            </w:pPr>
            <w:r w:rsidRPr="00652A9E">
              <w:rPr>
                <w:rFonts w:asciiTheme="minorHAnsi" w:hAnsiTheme="minorHAnsi" w:cstheme="minorHAnsi"/>
              </w:rPr>
              <w:t>Nákup</w:t>
            </w:r>
            <w:r w:rsidR="00DF69F0">
              <w:rPr>
                <w:rFonts w:asciiTheme="minorHAnsi" w:hAnsiTheme="minorHAnsi" w:cstheme="minorHAnsi"/>
              </w:rPr>
              <w:t xml:space="preserve"> </w:t>
            </w:r>
            <w:r w:rsidRPr="00652A9E">
              <w:rPr>
                <w:rFonts w:asciiTheme="minorHAnsi" w:hAnsiTheme="minorHAnsi" w:cstheme="minorHAnsi"/>
              </w:rPr>
              <w:t xml:space="preserve">elektromobilů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652A9E">
              <w:rPr>
                <w:rFonts w:asciiTheme="minorHAnsi" w:hAnsiTheme="minorHAnsi" w:cstheme="minorHAnsi"/>
              </w:rPr>
              <w:t xml:space="preserve">a aut na vodíkový pohon-v případě potřeby vozidla splňují požadavky nejnovější platné etapy schválení typu Euro VI pro těžké nákladní automobily stanovené v souladu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652A9E">
              <w:rPr>
                <w:rFonts w:asciiTheme="minorHAnsi" w:hAnsiTheme="minorHAnsi" w:cstheme="minorHAnsi"/>
              </w:rPr>
              <w:t xml:space="preserve">s nařízením (ES)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652A9E">
              <w:rPr>
                <w:rFonts w:asciiTheme="minorHAnsi" w:hAnsiTheme="minorHAnsi" w:cstheme="minorHAnsi"/>
              </w:rPr>
              <w:t>č. 595/2009.</w:t>
            </w:r>
          </w:p>
          <w:p w14:paraId="5F730C9E" w14:textId="77777777" w:rsidR="00652A9E" w:rsidRPr="00652A9E" w:rsidRDefault="00652A9E" w:rsidP="00652A9E">
            <w:pPr>
              <w:pStyle w:val="Bezmezer"/>
              <w:ind w:left="816"/>
            </w:pPr>
          </w:p>
          <w:p w14:paraId="0B2CD169" w14:textId="1DFC552A" w:rsidR="000D1A0C" w:rsidRDefault="00384DD8" w:rsidP="00AD5774">
            <w:pPr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>Pořízená vozidla budou v každém případě odpovídat požadavkům platné legislativy.</w:t>
            </w:r>
          </w:p>
          <w:p w14:paraId="5DE8D07D" w14:textId="77C642F0" w:rsidR="00652A9E" w:rsidRPr="004B7A0E" w:rsidRDefault="00451C17" w:rsidP="00AD5774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652A9E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</w:tr>
      <w:tr w:rsidR="000D1A0C" w:rsidRPr="004B7A0E" w14:paraId="4456DE3F" w14:textId="4793210E" w:rsidTr="004C4C9D">
        <w:tc>
          <w:tcPr>
            <w:tcW w:w="2546" w:type="dxa"/>
            <w:shd w:val="clear" w:color="auto" w:fill="auto"/>
          </w:tcPr>
          <w:p w14:paraId="27EF0790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>Ochrana a obnova biologické rozmanitosti a ekosystémů</w:t>
            </w:r>
          </w:p>
        </w:tc>
        <w:tc>
          <w:tcPr>
            <w:tcW w:w="693" w:type="dxa"/>
            <w:shd w:val="clear" w:color="auto" w:fill="auto"/>
          </w:tcPr>
          <w:p w14:paraId="1801E05A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1B08A9A6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046BAC3B" w14:textId="52C1F9D5" w:rsidR="00652A9E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a) Rekonstrukce </w:t>
            </w:r>
            <w:r w:rsidR="00451C17" w:rsidRPr="00AD53BC">
              <w:rPr>
                <w:rFonts w:asciiTheme="minorHAnsi" w:hAnsiTheme="minorHAnsi" w:cstheme="minorHAnsi"/>
              </w:rPr>
              <w:t>budov – Investice</w:t>
            </w:r>
            <w:r w:rsidRPr="00AD53BC">
              <w:rPr>
                <w:rFonts w:asciiTheme="minorHAnsi" w:hAnsiTheme="minorHAnsi" w:cstheme="minorHAnsi"/>
              </w:rPr>
              <w:t xml:space="preserve"> nespadají do působnosti hodnocení EIA, neovlivňují předměty ochrany přírody a krajiny, nedochází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k záboru zemědělské půdy a nejsou realizovány v chráněných územích a </w:t>
            </w:r>
            <w:proofErr w:type="spellStart"/>
            <w:r w:rsidRPr="00AD53BC">
              <w:rPr>
                <w:rFonts w:asciiTheme="minorHAnsi" w:hAnsiTheme="minorHAnsi" w:cstheme="minorHAnsi"/>
              </w:rPr>
              <w:t>biodiverzitně</w:t>
            </w:r>
            <w:proofErr w:type="spellEnd"/>
            <w:r w:rsidRPr="00AD53BC">
              <w:rPr>
                <w:rFonts w:asciiTheme="minorHAnsi" w:hAnsiTheme="minorHAnsi" w:cstheme="minorHAnsi"/>
              </w:rPr>
              <w:t xml:space="preserve"> hodnotných oblastech.</w:t>
            </w:r>
          </w:p>
          <w:p w14:paraId="0BDFE396" w14:textId="14623769" w:rsidR="000D1A0C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 B) Stavby </w:t>
            </w:r>
            <w:r w:rsidR="00451C17" w:rsidRPr="00AD53BC">
              <w:rPr>
                <w:rFonts w:asciiTheme="minorHAnsi" w:hAnsiTheme="minorHAnsi" w:cstheme="minorHAnsi"/>
              </w:rPr>
              <w:t>budov – Investice</w:t>
            </w:r>
            <w:r w:rsidRPr="00AD53BC">
              <w:rPr>
                <w:rFonts w:asciiTheme="minorHAnsi" w:hAnsiTheme="minorHAnsi" w:cstheme="minorHAnsi"/>
              </w:rPr>
              <w:t xml:space="preserve"> nespadají do působnosti hodnocení EIA, neovlivňují předměty ochrany přírody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a krajiny, nedochází k záboru zemědělské půdy a nejsou realizovány v chráněných územích a </w:t>
            </w:r>
            <w:proofErr w:type="spellStart"/>
            <w:r w:rsidRPr="00AD53BC">
              <w:rPr>
                <w:rFonts w:asciiTheme="minorHAnsi" w:hAnsiTheme="minorHAnsi" w:cstheme="minorHAnsi"/>
              </w:rPr>
              <w:t>biodiverzitně</w:t>
            </w:r>
            <w:proofErr w:type="spellEnd"/>
            <w:r w:rsidRPr="00AD53BC">
              <w:rPr>
                <w:rFonts w:asciiTheme="minorHAnsi" w:hAnsiTheme="minorHAnsi" w:cstheme="minorHAnsi"/>
              </w:rPr>
              <w:t xml:space="preserve"> hodnotných oblastech.</w:t>
            </w:r>
          </w:p>
          <w:p w14:paraId="36610DB0" w14:textId="38E3821B" w:rsidR="00652A9E" w:rsidRPr="004B7A0E" w:rsidRDefault="00451C17" w:rsidP="00AD5774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652A9E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  <w:tc>
          <w:tcPr>
            <w:tcW w:w="2969" w:type="dxa"/>
          </w:tcPr>
          <w:p w14:paraId="6E2A7425" w14:textId="45907AC0" w:rsidR="00652A9E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a) Rekonstrukce </w:t>
            </w:r>
            <w:r w:rsidR="00451C17" w:rsidRPr="00AD53BC">
              <w:rPr>
                <w:rFonts w:asciiTheme="minorHAnsi" w:hAnsiTheme="minorHAnsi" w:cstheme="minorHAnsi"/>
              </w:rPr>
              <w:t>budov – Investice</w:t>
            </w:r>
            <w:r w:rsidRPr="00AD53BC">
              <w:rPr>
                <w:rFonts w:asciiTheme="minorHAnsi" w:hAnsiTheme="minorHAnsi" w:cstheme="minorHAnsi"/>
              </w:rPr>
              <w:t xml:space="preserve"> nespadají do působnosti hodnocení EIA, neovlivňují předměty ochrany přírody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a krajiny, nedochází k záboru zemědělské půdy a nejsou realizovány v chráněných územích a </w:t>
            </w:r>
            <w:proofErr w:type="spellStart"/>
            <w:r w:rsidRPr="00AD53BC">
              <w:rPr>
                <w:rFonts w:asciiTheme="minorHAnsi" w:hAnsiTheme="minorHAnsi" w:cstheme="minorHAnsi"/>
              </w:rPr>
              <w:t>biodiverzitně</w:t>
            </w:r>
            <w:proofErr w:type="spellEnd"/>
            <w:r w:rsidRPr="00AD53BC">
              <w:rPr>
                <w:rFonts w:asciiTheme="minorHAnsi" w:hAnsiTheme="minorHAnsi" w:cstheme="minorHAnsi"/>
              </w:rPr>
              <w:t xml:space="preserve"> hodnotných oblastech.</w:t>
            </w:r>
          </w:p>
          <w:p w14:paraId="16264C04" w14:textId="769A314C" w:rsidR="000D1A0C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 B) Stavby </w:t>
            </w:r>
            <w:r w:rsidR="00451C17" w:rsidRPr="00AD53BC">
              <w:rPr>
                <w:rFonts w:asciiTheme="minorHAnsi" w:hAnsiTheme="minorHAnsi" w:cstheme="minorHAnsi"/>
              </w:rPr>
              <w:t>budov – Investice</w:t>
            </w:r>
            <w:r w:rsidRPr="00AD53BC">
              <w:rPr>
                <w:rFonts w:asciiTheme="minorHAnsi" w:hAnsiTheme="minorHAnsi" w:cstheme="minorHAnsi"/>
              </w:rPr>
              <w:t xml:space="preserve"> nespadají do působnosti hodnocení EIA, neovlivňují předměty ochrany přírody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a krajiny, nedochází k záboru zemědělské půdy a nejsou realizovány v chráněných územích a </w:t>
            </w:r>
            <w:r w:rsidR="00451C17" w:rsidRPr="00AD53BC">
              <w:rPr>
                <w:rFonts w:asciiTheme="minorHAnsi" w:hAnsiTheme="minorHAnsi" w:cstheme="minorHAnsi"/>
              </w:rPr>
              <w:t>biodiverzitě</w:t>
            </w:r>
            <w:r w:rsidRPr="00AD53BC">
              <w:rPr>
                <w:rFonts w:asciiTheme="minorHAnsi" w:hAnsiTheme="minorHAnsi" w:cstheme="minorHAnsi"/>
              </w:rPr>
              <w:t xml:space="preserve"> hodnotných oblastech.</w:t>
            </w:r>
          </w:p>
          <w:p w14:paraId="7267E129" w14:textId="0C4CB019" w:rsidR="00652A9E" w:rsidRPr="004B7A0E" w:rsidRDefault="00451C17" w:rsidP="00AD5774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652A9E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</w:tr>
    </w:tbl>
    <w:p w14:paraId="7FE299ED" w14:textId="77777777" w:rsidR="00445E4E" w:rsidRPr="004B7A0E" w:rsidRDefault="00445E4E" w:rsidP="00445E4E">
      <w:pPr>
        <w:rPr>
          <w:rFonts w:asciiTheme="minorHAnsi" w:hAnsiTheme="minorHAnsi" w:cstheme="minorHAnsi"/>
        </w:rPr>
      </w:pPr>
    </w:p>
    <w:p w14:paraId="3338110F" w14:textId="77777777" w:rsidR="00445E4E" w:rsidRPr="00DC6537" w:rsidRDefault="00445E4E" w:rsidP="00445E4E">
      <w:pPr>
        <w:rPr>
          <w:rFonts w:asciiTheme="minorHAnsi" w:hAnsiTheme="minorHAnsi" w:cstheme="minorHAnsi"/>
          <w:b/>
          <w:bCs/>
        </w:rPr>
      </w:pPr>
      <w:r w:rsidRPr="00DC6537">
        <w:rPr>
          <w:rFonts w:asciiTheme="minorHAnsi" w:hAnsiTheme="minorHAnsi" w:cstheme="minorHAnsi"/>
          <w:b/>
          <w:bCs/>
        </w:rPr>
        <w:t>Tabulka č. 2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829"/>
        <w:gridCol w:w="4973"/>
      </w:tblGrid>
      <w:tr w:rsidR="00445E4E" w:rsidRPr="004B7A0E" w14:paraId="359EB740" w14:textId="77777777" w:rsidTr="00A97B2B">
        <w:tc>
          <w:tcPr>
            <w:tcW w:w="3974" w:type="dxa"/>
            <w:shd w:val="clear" w:color="auto" w:fill="auto"/>
          </w:tcPr>
          <w:p w14:paraId="08F33EF3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Otázka</w:t>
            </w:r>
          </w:p>
        </w:tc>
        <w:tc>
          <w:tcPr>
            <w:tcW w:w="829" w:type="dxa"/>
            <w:shd w:val="clear" w:color="auto" w:fill="auto"/>
          </w:tcPr>
          <w:p w14:paraId="76C2A33A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4973" w:type="dxa"/>
            <w:shd w:val="clear" w:color="auto" w:fill="auto"/>
          </w:tcPr>
          <w:p w14:paraId="23FCD5B1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Věcné odůvodnění</w:t>
            </w:r>
          </w:p>
        </w:tc>
      </w:tr>
      <w:tr w:rsidR="00445E4E" w:rsidRPr="004B7A0E" w14:paraId="2CE8B3AF" w14:textId="77777777" w:rsidTr="00A97B2B">
        <w:tc>
          <w:tcPr>
            <w:tcW w:w="3974" w:type="dxa"/>
            <w:shd w:val="clear" w:color="auto" w:fill="auto"/>
          </w:tcPr>
          <w:p w14:paraId="24E8E4D3" w14:textId="77777777" w:rsidR="00445E4E" w:rsidRPr="004B7A0E" w:rsidRDefault="00445E4E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>Zmírňování změny klimatu</w:t>
            </w:r>
          </w:p>
          <w:p w14:paraId="159F2C93" w14:textId="2FC86375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 významným emisím skleníkových plynů? </w:t>
            </w:r>
          </w:p>
        </w:tc>
        <w:tc>
          <w:tcPr>
            <w:tcW w:w="829" w:type="dxa"/>
            <w:shd w:val="clear" w:color="auto" w:fill="auto"/>
          </w:tcPr>
          <w:p w14:paraId="167DC68A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>ne</w:t>
            </w:r>
          </w:p>
        </w:tc>
        <w:tc>
          <w:tcPr>
            <w:tcW w:w="4973" w:type="dxa"/>
            <w:shd w:val="clear" w:color="auto" w:fill="auto"/>
          </w:tcPr>
          <w:p w14:paraId="72366C61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445E4E" w:rsidRPr="004B7A0E" w14:paraId="5424F4A5" w14:textId="77777777" w:rsidTr="00A97B2B">
        <w:tc>
          <w:tcPr>
            <w:tcW w:w="3974" w:type="dxa"/>
            <w:shd w:val="clear" w:color="auto" w:fill="auto"/>
          </w:tcPr>
          <w:p w14:paraId="76421085" w14:textId="333DD3AA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Přizpůsobování se změně klimatu </w:t>
            </w: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ke zvýšenému nepříznivému dopadu stávajícího nebo očekávaného budoucího klimatu na samotné opatření nebo na osoby, přírodu nebo aktiva?</w:t>
            </w:r>
          </w:p>
        </w:tc>
        <w:tc>
          <w:tcPr>
            <w:tcW w:w="829" w:type="dxa"/>
            <w:shd w:val="clear" w:color="auto" w:fill="auto"/>
          </w:tcPr>
          <w:p w14:paraId="5F80B740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4973" w:type="dxa"/>
            <w:shd w:val="clear" w:color="auto" w:fill="auto"/>
          </w:tcPr>
          <w:p w14:paraId="6802F2AE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445E4E" w:rsidRPr="004B7A0E" w14:paraId="0F54B51F" w14:textId="77777777" w:rsidTr="00A97B2B">
        <w:tc>
          <w:tcPr>
            <w:tcW w:w="3974" w:type="dxa"/>
            <w:shd w:val="clear" w:color="auto" w:fill="auto"/>
          </w:tcPr>
          <w:p w14:paraId="28CA4C50" w14:textId="16F461EE" w:rsidR="00445E4E" w:rsidRPr="004B7A0E" w:rsidRDefault="00445E4E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Udržitelné využívání a ochrana vodních </w:t>
            </w:r>
            <w:r w:rsidR="005A4A55">
              <w:rPr>
                <w:rFonts w:asciiTheme="minorHAnsi" w:hAnsiTheme="minorHAnsi" w:cstheme="minorHAnsi"/>
                <w:i/>
                <w:iCs/>
              </w:rPr>
              <w:br/>
            </w:r>
            <w:r w:rsidRPr="004B7A0E">
              <w:rPr>
                <w:rFonts w:asciiTheme="minorHAnsi" w:hAnsiTheme="minorHAnsi" w:cstheme="minorHAnsi"/>
                <w:i/>
                <w:iCs/>
              </w:rPr>
              <w:t>a mořských zdrojů</w:t>
            </w:r>
          </w:p>
          <w:p w14:paraId="73DE61E4" w14:textId="4D347B8D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poškodí:</w:t>
            </w:r>
          </w:p>
          <w:p w14:paraId="355E56F3" w14:textId="77777777" w:rsidR="00445E4E" w:rsidRPr="004B7A0E" w:rsidRDefault="00445E4E" w:rsidP="00445E4E">
            <w:pPr>
              <w:numPr>
                <w:ilvl w:val="0"/>
                <w:numId w:val="20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 xml:space="preserve">dobrý stav nebo dobrý ekologický potenciál vodních útvarů, včetně povrchových a podzemních vod, nebo </w:t>
            </w:r>
          </w:p>
          <w:p w14:paraId="7F3A6A23" w14:textId="77777777" w:rsidR="00445E4E" w:rsidRPr="004B7A0E" w:rsidRDefault="00445E4E" w:rsidP="00445E4E">
            <w:pPr>
              <w:numPr>
                <w:ilvl w:val="0"/>
                <w:numId w:val="20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>dobrý stav prostředí mořských vod?</w:t>
            </w:r>
          </w:p>
        </w:tc>
        <w:tc>
          <w:tcPr>
            <w:tcW w:w="829" w:type="dxa"/>
            <w:shd w:val="clear" w:color="auto" w:fill="auto"/>
          </w:tcPr>
          <w:p w14:paraId="7F06B3F3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4973" w:type="dxa"/>
            <w:shd w:val="clear" w:color="auto" w:fill="auto"/>
          </w:tcPr>
          <w:p w14:paraId="3F327F91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445E4E" w:rsidRPr="004B7A0E" w14:paraId="27008890" w14:textId="77777777" w:rsidTr="00A97B2B">
        <w:tc>
          <w:tcPr>
            <w:tcW w:w="3974" w:type="dxa"/>
            <w:shd w:val="clear" w:color="auto" w:fill="auto"/>
          </w:tcPr>
          <w:p w14:paraId="3FB518C4" w14:textId="77777777" w:rsidR="00445E4E" w:rsidRPr="004B7A0E" w:rsidRDefault="00445E4E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>Přechod k oběhovému hospodářství, včetně předcházení vzniku odpadů a recyklace</w:t>
            </w:r>
          </w:p>
          <w:p w14:paraId="2183DB04" w14:textId="6DC147EE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>í:</w:t>
            </w:r>
          </w:p>
          <w:p w14:paraId="5A75EAB0" w14:textId="385DB670" w:rsidR="00445E4E" w:rsidRPr="004B7A0E" w:rsidRDefault="00445E4E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povede k významnému zvýšení vzniku, spalování nebo odstraňování odpadu,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>s výjimkou spalování nerecyklovatelného nebezpečného odpadu nebo</w:t>
            </w:r>
          </w:p>
          <w:p w14:paraId="78B951A7" w14:textId="745BE81F" w:rsidR="00445E4E" w:rsidRPr="004B7A0E" w:rsidRDefault="00445E4E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povede k významné nehospodárnosti při přímém nebo nepřímém využívání jakéhokoli přírodního zdroje</w:t>
            </w:r>
            <w:r w:rsidR="004A42F0">
              <w:rPr>
                <w:rStyle w:val="Znakapoznpodarou"/>
                <w:rFonts w:asciiTheme="minorHAnsi" w:hAnsiTheme="minorHAnsi" w:cstheme="minorHAnsi"/>
              </w:rPr>
              <w:footnoteReference w:id="2"/>
            </w:r>
            <w:r w:rsidRPr="004B7A0E">
              <w:rPr>
                <w:rFonts w:asciiTheme="minorHAnsi" w:hAnsiTheme="minorHAnsi" w:cstheme="minorHAnsi"/>
              </w:rPr>
              <w:t xml:space="preserve">  v jakékoli fázi jeho životního cyklu, která není </w:t>
            </w:r>
            <w:r w:rsidR="00DC6537">
              <w:rPr>
                <w:rStyle w:val="Znakapoznpodarou"/>
                <w:rFonts w:asciiTheme="minorHAnsi" w:hAnsiTheme="minorHAnsi" w:cstheme="minorHAnsi"/>
              </w:rPr>
              <w:footnoteReference w:id="3"/>
            </w:r>
            <w:r w:rsidRPr="004B7A0E">
              <w:rPr>
                <w:rFonts w:asciiTheme="minorHAnsi" w:hAnsiTheme="minorHAnsi" w:cstheme="minorHAnsi"/>
              </w:rPr>
              <w:t xml:space="preserve">vhodnými opatřeními </w:t>
            </w:r>
            <w:r w:rsidR="001206CA" w:rsidRPr="004B7A0E">
              <w:rPr>
                <w:rFonts w:asciiTheme="minorHAnsi" w:hAnsiTheme="minorHAnsi" w:cstheme="minorHAnsi"/>
              </w:rPr>
              <w:t>minimalizována,</w:t>
            </w:r>
            <w:r w:rsidRPr="004B7A0E">
              <w:rPr>
                <w:rFonts w:asciiTheme="minorHAnsi" w:hAnsiTheme="minorHAnsi" w:cstheme="minorHAnsi"/>
              </w:rPr>
              <w:t xml:space="preserve"> nebo </w:t>
            </w:r>
          </w:p>
          <w:p w14:paraId="787E6D33" w14:textId="413BECA9" w:rsidR="00445E4E" w:rsidRPr="004B7A0E" w:rsidRDefault="00445E4E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způsobí významné a dlouhodobé škody na životním prostředí v souvislosti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 xml:space="preserve">s oběhovým hospodářstvím </w:t>
            </w:r>
            <w:r w:rsidR="00DC6537">
              <w:rPr>
                <w:rStyle w:val="Znakapoznpodarou"/>
                <w:rFonts w:asciiTheme="minorHAnsi" w:hAnsiTheme="minorHAnsi" w:cstheme="minorHAnsi"/>
              </w:rPr>
              <w:footnoteReference w:id="4"/>
            </w:r>
            <w:r w:rsidRPr="004B7A0E">
              <w:rPr>
                <w:rFonts w:asciiTheme="minorHAnsi" w:hAnsiTheme="minorHAnsi" w:cstheme="minorHAnsi"/>
              </w:rPr>
              <w:t xml:space="preserve">? </w:t>
            </w:r>
          </w:p>
        </w:tc>
        <w:tc>
          <w:tcPr>
            <w:tcW w:w="829" w:type="dxa"/>
            <w:shd w:val="clear" w:color="auto" w:fill="auto"/>
          </w:tcPr>
          <w:p w14:paraId="25302F58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4973" w:type="dxa"/>
            <w:shd w:val="clear" w:color="auto" w:fill="auto"/>
          </w:tcPr>
          <w:p w14:paraId="44951983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445E4E" w:rsidRPr="004B7A0E" w14:paraId="0EAE24C3" w14:textId="77777777" w:rsidTr="00A97B2B">
        <w:tc>
          <w:tcPr>
            <w:tcW w:w="3974" w:type="dxa"/>
            <w:shd w:val="clear" w:color="auto" w:fill="auto"/>
          </w:tcPr>
          <w:p w14:paraId="5A83CB36" w14:textId="2E1F68DF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 xml:space="preserve">Prevence a omezování znečištění: 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 významnému zvýšení emisí znečišťujících látek</w:t>
            </w:r>
            <w:r w:rsidR="00DC6537">
              <w:rPr>
                <w:rStyle w:val="Znakapoznpodarou"/>
                <w:rFonts w:asciiTheme="minorHAnsi" w:hAnsiTheme="minorHAnsi" w:cstheme="minorHAnsi"/>
              </w:rPr>
              <w:footnoteReference w:id="5"/>
            </w:r>
            <w:r w:rsidRPr="004B7A0E">
              <w:rPr>
                <w:rFonts w:asciiTheme="minorHAnsi" w:hAnsiTheme="minorHAnsi" w:cstheme="minorHAnsi"/>
              </w:rPr>
              <w:t xml:space="preserve"> do ovzduší, vody nebo krajiny?</w:t>
            </w:r>
          </w:p>
        </w:tc>
        <w:tc>
          <w:tcPr>
            <w:tcW w:w="829" w:type="dxa"/>
            <w:shd w:val="clear" w:color="auto" w:fill="auto"/>
          </w:tcPr>
          <w:p w14:paraId="0D17BABA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4973" w:type="dxa"/>
            <w:shd w:val="clear" w:color="auto" w:fill="auto"/>
          </w:tcPr>
          <w:p w14:paraId="62631875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445E4E" w:rsidRPr="004B7A0E" w14:paraId="4DDF42CE" w14:textId="77777777" w:rsidTr="00A97B2B">
        <w:tc>
          <w:tcPr>
            <w:tcW w:w="3974" w:type="dxa"/>
            <w:shd w:val="clear" w:color="auto" w:fill="auto"/>
          </w:tcPr>
          <w:p w14:paraId="2FB60127" w14:textId="77777777" w:rsidR="00651EBC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Ochrana a obnova biologické rozmanitosti </w:t>
            </w:r>
            <w:r w:rsidR="005A4A55">
              <w:rPr>
                <w:rFonts w:asciiTheme="minorHAnsi" w:hAnsiTheme="minorHAnsi" w:cstheme="minorHAnsi"/>
                <w:i/>
                <w:iCs/>
              </w:rPr>
              <w:br/>
            </w:r>
            <w:r w:rsidRPr="004B7A0E">
              <w:rPr>
                <w:rFonts w:asciiTheme="minorHAnsi" w:hAnsiTheme="minorHAnsi" w:cstheme="minorHAnsi"/>
                <w:i/>
                <w:iCs/>
              </w:rPr>
              <w:t>a ekosystémů</w:t>
            </w:r>
            <w:r w:rsidRPr="004B7A0E">
              <w:rPr>
                <w:rFonts w:asciiTheme="minorHAnsi" w:hAnsiTheme="minorHAnsi" w:cstheme="minorHAnsi"/>
              </w:rPr>
              <w:t xml:space="preserve"> </w:t>
            </w:r>
            <w:r w:rsidR="00651EBC">
              <w:rPr>
                <w:rFonts w:asciiTheme="minorHAnsi" w:hAnsiTheme="minorHAnsi" w:cstheme="minorHAnsi"/>
              </w:rPr>
              <w:t xml:space="preserve">  </w:t>
            </w:r>
          </w:p>
          <w:p w14:paraId="25DDB2C6" w14:textId="132C90A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: </w:t>
            </w:r>
          </w:p>
          <w:p w14:paraId="45200B81" w14:textId="04E4F27D" w:rsidR="00445E4E" w:rsidRPr="004B7A0E" w:rsidRDefault="00445E4E" w:rsidP="00445E4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ve významné míře poškodí dobrý stav </w:t>
            </w:r>
            <w:r w:rsidR="00DC6537">
              <w:rPr>
                <w:rStyle w:val="Znakapoznpodarou"/>
                <w:rFonts w:asciiTheme="minorHAnsi" w:hAnsiTheme="minorHAnsi" w:cstheme="minorHAnsi"/>
              </w:rPr>
              <w:footnoteReference w:id="6"/>
            </w:r>
            <w:r w:rsidRPr="004B7A0E">
              <w:rPr>
                <w:rFonts w:asciiTheme="minorHAnsi" w:hAnsiTheme="minorHAnsi" w:cstheme="minorHAnsi"/>
              </w:rPr>
              <w:t xml:space="preserve"> a odolnost ekosystémů nebo</w:t>
            </w:r>
          </w:p>
          <w:p w14:paraId="796628D4" w14:textId="3F43BCB4" w:rsidR="00445E4E" w:rsidRPr="004B7A0E" w:rsidRDefault="00445E4E" w:rsidP="00445E4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 xml:space="preserve">poškodí stav stanovišť a druhů, včetně stanovišť a druhů v zájmu Unie,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>z hlediska jejich ochrany?</w:t>
            </w:r>
          </w:p>
        </w:tc>
        <w:tc>
          <w:tcPr>
            <w:tcW w:w="829" w:type="dxa"/>
            <w:shd w:val="clear" w:color="auto" w:fill="auto"/>
          </w:tcPr>
          <w:p w14:paraId="5F394C78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>ne</w:t>
            </w:r>
          </w:p>
        </w:tc>
        <w:tc>
          <w:tcPr>
            <w:tcW w:w="4973" w:type="dxa"/>
            <w:shd w:val="clear" w:color="auto" w:fill="auto"/>
          </w:tcPr>
          <w:p w14:paraId="34377063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</w:tbl>
    <w:p w14:paraId="4BB731EE" w14:textId="77777777" w:rsidR="00832986" w:rsidRDefault="00832986" w:rsidP="00C21FC0">
      <w:pPr>
        <w:rPr>
          <w:rFonts w:asciiTheme="minorHAnsi" w:hAnsiTheme="minorHAnsi" w:cstheme="minorHAnsi"/>
          <w:i/>
          <w:iCs/>
        </w:rPr>
      </w:pPr>
    </w:p>
    <w:p w14:paraId="23100B57" w14:textId="7F8E146C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56CEF08F" w14:textId="298D1896" w:rsidR="004A42F0" w:rsidRPr="004A42F0" w:rsidRDefault="004A42F0" w:rsidP="004A42F0">
      <w:pPr>
        <w:pStyle w:val="Nadpis1"/>
        <w:numPr>
          <w:ilvl w:val="0"/>
          <w:numId w:val="30"/>
        </w:numPr>
        <w:jc w:val="left"/>
        <w:rPr>
          <w:sz w:val="24"/>
          <w:szCs w:val="24"/>
        </w:rPr>
      </w:pPr>
      <w:bookmarkStart w:id="6" w:name="_Toc107405263"/>
      <w:r w:rsidRPr="004A42F0">
        <w:rPr>
          <w:sz w:val="24"/>
          <w:szCs w:val="24"/>
        </w:rPr>
        <w:t>Konkrétní naplnění cílů DNSH v</w:t>
      </w:r>
      <w:r w:rsidR="00D173C9">
        <w:rPr>
          <w:sz w:val="24"/>
          <w:szCs w:val="24"/>
        </w:rPr>
        <w:t> </w:t>
      </w:r>
      <w:r w:rsidRPr="004A42F0">
        <w:rPr>
          <w:sz w:val="24"/>
          <w:szCs w:val="24"/>
        </w:rPr>
        <w:t>projektu</w:t>
      </w:r>
      <w:r w:rsidR="00D173C9">
        <w:rPr>
          <w:sz w:val="24"/>
          <w:szCs w:val="24"/>
        </w:rPr>
        <w:t xml:space="preserve"> pro všechny žadatele VK 3.3</w:t>
      </w:r>
      <w:bookmarkEnd w:id="6"/>
    </w:p>
    <w:p w14:paraId="398FDF60" w14:textId="77777777" w:rsidR="004A42F0" w:rsidRPr="00231201" w:rsidRDefault="004A42F0" w:rsidP="004A42F0">
      <w:pPr>
        <w:pStyle w:val="Nadpis3"/>
        <w:keepNext w:val="0"/>
        <w:widowControl w:val="0"/>
        <w:numPr>
          <w:ilvl w:val="0"/>
          <w:numId w:val="32"/>
        </w:numPr>
        <w:spacing w:before="0" w:after="120"/>
        <w:jc w:val="left"/>
      </w:pPr>
      <w:bookmarkStart w:id="7" w:name="_Toc107405264"/>
      <w:r w:rsidRPr="0002174D">
        <w:t>Cíl zmírňování změn</w:t>
      </w:r>
      <w:r w:rsidRPr="00231201">
        <w:t>y klimatu</w:t>
      </w:r>
      <w:bookmarkEnd w:id="7"/>
    </w:p>
    <w:p w14:paraId="5F792663" w14:textId="77777777" w:rsidR="004A42F0" w:rsidRPr="00776A6A" w:rsidRDefault="004A42F0" w:rsidP="004A42F0">
      <w:pPr>
        <w:widowControl w:val="0"/>
        <w:rPr>
          <w:color w:val="auto"/>
        </w:rPr>
      </w:pPr>
      <w:r w:rsidRPr="00776A6A">
        <w:rPr>
          <w:color w:val="auto"/>
        </w:rPr>
        <w:t>Plnění DNSH bude odůvodněné uvedením hodnot dosahovaných úspor, instalované kapacity a vyjádřením ušetřených kg/t CO</w:t>
      </w:r>
      <w:r w:rsidRPr="00776A6A">
        <w:rPr>
          <w:color w:val="auto"/>
          <w:vertAlign w:val="subscript"/>
        </w:rPr>
        <w:t>2</w:t>
      </w:r>
      <w:r w:rsidRPr="00776A6A">
        <w:rPr>
          <w:color w:val="auto"/>
        </w:rPr>
        <w:t xml:space="preserve"> za časovou jednotku.</w:t>
      </w:r>
    </w:p>
    <w:p w14:paraId="45C28CDD" w14:textId="77777777" w:rsidR="004A42F0" w:rsidRPr="00776A6A" w:rsidRDefault="004A42F0" w:rsidP="004A42F0">
      <w:pPr>
        <w:widowControl w:val="0"/>
        <w:rPr>
          <w:color w:val="auto"/>
          <w:u w:val="single"/>
        </w:rPr>
      </w:pPr>
      <w:r w:rsidRPr="00776A6A">
        <w:rPr>
          <w:color w:val="auto"/>
          <w:u w:val="single"/>
        </w:rPr>
        <w:t>Demolice a výstavba</w:t>
      </w:r>
    </w:p>
    <w:p w14:paraId="53A2DF83" w14:textId="077C7995" w:rsidR="004A42F0" w:rsidRPr="00776A6A" w:rsidRDefault="004A42F0" w:rsidP="004A42F0">
      <w:pPr>
        <w:widowControl w:val="0"/>
        <w:rPr>
          <w:rFonts w:eastAsia="Times New Roman"/>
          <w:i/>
          <w:iCs/>
          <w:color w:val="auto"/>
          <w:lang w:eastAsia="cs-CZ"/>
        </w:rPr>
      </w:pPr>
      <w:r w:rsidRPr="00776A6A">
        <w:rPr>
          <w:rFonts w:eastAsia="Times New Roman"/>
          <w:i/>
          <w:iCs/>
          <w:color w:val="auto"/>
          <w:lang w:eastAsia="cs-CZ"/>
        </w:rPr>
        <w:t xml:space="preserve">V rámci projektu </w:t>
      </w:r>
      <w:r w:rsidR="001206CA" w:rsidRPr="00776A6A">
        <w:rPr>
          <w:rFonts w:eastAsia="Times New Roman"/>
          <w:i/>
          <w:iCs/>
          <w:color w:val="auto"/>
          <w:lang w:eastAsia="cs-CZ"/>
        </w:rPr>
        <w:t>je podpořen</w:t>
      </w:r>
      <w:r w:rsidRPr="00776A6A">
        <w:rPr>
          <w:rFonts w:eastAsia="Times New Roman"/>
          <w:i/>
          <w:iCs/>
          <w:color w:val="auto"/>
          <w:lang w:eastAsia="cs-CZ"/>
        </w:rPr>
        <w:t xml:space="preserve"> energetický standard o 20 % přísnější, než vyžadují legislativní předpisy. Vystavěná budova má výrazně vyšší pokrytí obnovitelných zdrojů, než budova na úrovni legislativní standardu (budovy s téměř nulovou spotřebou energie), což je </w:t>
      </w:r>
      <w:proofErr w:type="spellStart"/>
      <w:r w:rsidRPr="00776A6A">
        <w:rPr>
          <w:rFonts w:eastAsia="Times New Roman"/>
          <w:i/>
          <w:iCs/>
          <w:color w:val="auto"/>
          <w:lang w:eastAsia="cs-CZ"/>
        </w:rPr>
        <w:t>xx</w:t>
      </w:r>
      <w:proofErr w:type="spellEnd"/>
      <w:r w:rsidRPr="00776A6A">
        <w:rPr>
          <w:rFonts w:eastAsia="Times New Roman"/>
          <w:i/>
          <w:iCs/>
          <w:color w:val="auto"/>
          <w:lang w:eastAsia="cs-CZ"/>
        </w:rPr>
        <w:t xml:space="preserve"> </w:t>
      </w:r>
      <w:proofErr w:type="spellStart"/>
      <w:r w:rsidRPr="00776A6A">
        <w:rPr>
          <w:rFonts w:eastAsia="Times New Roman"/>
          <w:i/>
          <w:iCs/>
          <w:color w:val="auto"/>
          <w:lang w:eastAsia="cs-CZ"/>
        </w:rPr>
        <w:t>kWp</w:t>
      </w:r>
      <w:proofErr w:type="spellEnd"/>
      <w:r w:rsidRPr="00776A6A">
        <w:rPr>
          <w:rFonts w:eastAsia="Times New Roman"/>
          <w:i/>
          <w:iCs/>
          <w:color w:val="auto"/>
          <w:lang w:eastAsia="cs-CZ"/>
        </w:rPr>
        <w:t xml:space="preserve">. Dodatečná instalovaná kapacita obnovitelné energie je </w:t>
      </w:r>
      <w:proofErr w:type="spellStart"/>
      <w:r w:rsidRPr="00776A6A">
        <w:rPr>
          <w:rFonts w:eastAsia="Times New Roman"/>
          <w:i/>
          <w:iCs/>
          <w:color w:val="auto"/>
          <w:lang w:eastAsia="cs-CZ"/>
        </w:rPr>
        <w:t>xx</w:t>
      </w:r>
      <w:proofErr w:type="spellEnd"/>
      <w:r w:rsidRPr="00776A6A">
        <w:rPr>
          <w:rFonts w:eastAsia="Times New Roman"/>
          <w:i/>
          <w:iCs/>
          <w:color w:val="auto"/>
          <w:lang w:eastAsia="cs-CZ"/>
        </w:rPr>
        <w:t xml:space="preserve"> </w:t>
      </w:r>
      <w:proofErr w:type="spellStart"/>
      <w:r w:rsidRPr="00776A6A">
        <w:rPr>
          <w:rFonts w:eastAsia="Times New Roman"/>
          <w:i/>
          <w:iCs/>
          <w:color w:val="auto"/>
          <w:lang w:eastAsia="cs-CZ"/>
        </w:rPr>
        <w:t>kWp</w:t>
      </w:r>
      <w:proofErr w:type="spellEnd"/>
      <w:r w:rsidRPr="00776A6A">
        <w:rPr>
          <w:rFonts w:eastAsia="Times New Roman"/>
          <w:i/>
          <w:iCs/>
          <w:color w:val="auto"/>
          <w:lang w:eastAsia="cs-CZ"/>
        </w:rPr>
        <w:t xml:space="preserve">, což představuje i snížení emisí skleníkových plynů </w:t>
      </w:r>
      <w:proofErr w:type="spellStart"/>
      <w:r w:rsidRPr="00776A6A">
        <w:rPr>
          <w:rFonts w:eastAsia="Times New Roman"/>
          <w:i/>
          <w:iCs/>
          <w:color w:val="auto"/>
          <w:lang w:eastAsia="cs-CZ"/>
        </w:rPr>
        <w:t>xx</w:t>
      </w:r>
      <w:proofErr w:type="spellEnd"/>
      <w:r w:rsidRPr="00776A6A">
        <w:rPr>
          <w:rFonts w:eastAsia="Times New Roman"/>
          <w:i/>
          <w:iCs/>
          <w:color w:val="auto"/>
          <w:lang w:eastAsia="cs-CZ"/>
        </w:rPr>
        <w:t xml:space="preserve"> kg/t/rok.</w:t>
      </w:r>
    </w:p>
    <w:p w14:paraId="2A658DA4" w14:textId="77777777" w:rsidR="004A42F0" w:rsidRPr="00776A6A" w:rsidRDefault="004A42F0" w:rsidP="004A42F0">
      <w:pPr>
        <w:widowControl w:val="0"/>
        <w:rPr>
          <w:color w:val="auto"/>
          <w:u w:val="single"/>
        </w:rPr>
      </w:pPr>
      <w:r w:rsidRPr="00776A6A">
        <w:rPr>
          <w:color w:val="auto"/>
          <w:u w:val="single"/>
        </w:rPr>
        <w:t>Energeticky úsporné renovace</w:t>
      </w:r>
    </w:p>
    <w:p w14:paraId="14F79962" w14:textId="678C4039" w:rsidR="004A42F0" w:rsidRPr="00776A6A" w:rsidRDefault="004A42F0" w:rsidP="004A42F0">
      <w:pPr>
        <w:widowControl w:val="0"/>
        <w:rPr>
          <w:rFonts w:eastAsia="Times New Roman"/>
          <w:i/>
          <w:iCs/>
          <w:color w:val="auto"/>
          <w:lang w:eastAsia="cs-CZ"/>
        </w:rPr>
      </w:pPr>
      <w:r w:rsidRPr="00776A6A">
        <w:rPr>
          <w:rFonts w:eastAsia="Times New Roman"/>
          <w:i/>
          <w:iCs/>
          <w:color w:val="auto"/>
          <w:lang w:eastAsia="cs-CZ"/>
        </w:rPr>
        <w:t xml:space="preserve">Díky renovaci budova dosahuje úspory </w:t>
      </w:r>
      <w:proofErr w:type="spellStart"/>
      <w:r w:rsidRPr="00776A6A">
        <w:rPr>
          <w:rFonts w:eastAsia="Times New Roman"/>
          <w:i/>
          <w:iCs/>
          <w:color w:val="auto"/>
          <w:lang w:eastAsia="cs-CZ"/>
        </w:rPr>
        <w:t>xx</w:t>
      </w:r>
      <w:proofErr w:type="spellEnd"/>
      <w:r w:rsidRPr="00776A6A">
        <w:rPr>
          <w:rFonts w:eastAsia="Times New Roman"/>
          <w:i/>
          <w:iCs/>
          <w:color w:val="auto"/>
          <w:lang w:eastAsia="cs-CZ"/>
        </w:rPr>
        <w:t xml:space="preserve"> % neobnovitelné primární energie. </w:t>
      </w:r>
      <w:r w:rsidR="00E36A8F" w:rsidRPr="00776A6A">
        <w:rPr>
          <w:rFonts w:eastAsia="Times New Roman"/>
          <w:i/>
          <w:iCs/>
          <w:color w:val="auto"/>
          <w:lang w:eastAsia="cs-CZ"/>
        </w:rPr>
        <w:t xml:space="preserve">(poznámka lze předpokládat úsporu primární energie z neobnovitelných zdrojů ve výši </w:t>
      </w:r>
      <w:r w:rsidR="00F029FF" w:rsidRPr="00776A6A">
        <w:rPr>
          <w:rFonts w:eastAsia="Times New Roman"/>
          <w:i/>
          <w:iCs/>
          <w:color w:val="auto"/>
          <w:lang w:eastAsia="cs-CZ"/>
        </w:rPr>
        <w:t>až 20 %</w:t>
      </w:r>
      <w:r w:rsidR="00E36A8F" w:rsidRPr="00776A6A">
        <w:rPr>
          <w:rFonts w:eastAsia="Times New Roman"/>
          <w:i/>
          <w:iCs/>
          <w:color w:val="auto"/>
          <w:lang w:eastAsia="cs-CZ"/>
        </w:rPr>
        <w:t>, což neplatí u objektů, které jsou dotčeny památkovou ochranou ve smyslu zákona 20/1987 Sb. o státní památkové péči a souvisejících předpisů)</w:t>
      </w:r>
      <w:r w:rsidRPr="00776A6A">
        <w:rPr>
          <w:rFonts w:eastAsia="Times New Roman"/>
          <w:i/>
          <w:iCs/>
          <w:color w:val="auto"/>
          <w:lang w:eastAsia="cs-CZ"/>
        </w:rPr>
        <w:t xml:space="preserve"> Budova má nyní energetickou třídu x. Na budově jsou provedena opatření xxxxxxx, která zajistí, že nebude docházet k významnému nárůstu emisí skleníkových plynů oproti tomu, kdyby byla budova provozována v nižším energetickém standardu. Dodatečná instalovaná kapacita obnovitelné energie je </w:t>
      </w:r>
      <w:proofErr w:type="spellStart"/>
      <w:r w:rsidRPr="00776A6A">
        <w:rPr>
          <w:rFonts w:eastAsia="Times New Roman"/>
          <w:i/>
          <w:iCs/>
          <w:color w:val="auto"/>
          <w:lang w:eastAsia="cs-CZ"/>
        </w:rPr>
        <w:t>xx</w:t>
      </w:r>
      <w:proofErr w:type="spellEnd"/>
      <w:r w:rsidRPr="00776A6A">
        <w:rPr>
          <w:rFonts w:eastAsia="Times New Roman"/>
          <w:i/>
          <w:iCs/>
          <w:color w:val="auto"/>
          <w:lang w:eastAsia="cs-CZ"/>
        </w:rPr>
        <w:t xml:space="preserve"> </w:t>
      </w:r>
      <w:proofErr w:type="spellStart"/>
      <w:r w:rsidRPr="00776A6A">
        <w:rPr>
          <w:rFonts w:eastAsia="Times New Roman"/>
          <w:i/>
          <w:iCs/>
          <w:color w:val="auto"/>
          <w:lang w:eastAsia="cs-CZ"/>
        </w:rPr>
        <w:t>kWp</w:t>
      </w:r>
      <w:proofErr w:type="spellEnd"/>
      <w:r w:rsidRPr="00776A6A">
        <w:rPr>
          <w:rFonts w:eastAsia="Times New Roman"/>
          <w:i/>
          <w:iCs/>
          <w:color w:val="auto"/>
          <w:lang w:eastAsia="cs-CZ"/>
        </w:rPr>
        <w:t xml:space="preserve">, což představuje i snížení emisí skleníkových plynů </w:t>
      </w:r>
      <w:proofErr w:type="spellStart"/>
      <w:r w:rsidRPr="00776A6A">
        <w:rPr>
          <w:rFonts w:eastAsia="Times New Roman"/>
          <w:i/>
          <w:iCs/>
          <w:color w:val="auto"/>
          <w:lang w:eastAsia="cs-CZ"/>
        </w:rPr>
        <w:t>xx</w:t>
      </w:r>
      <w:proofErr w:type="spellEnd"/>
      <w:r w:rsidRPr="00776A6A">
        <w:rPr>
          <w:rFonts w:eastAsia="Times New Roman"/>
          <w:i/>
          <w:iCs/>
          <w:color w:val="auto"/>
          <w:lang w:eastAsia="cs-CZ"/>
        </w:rPr>
        <w:t xml:space="preserve"> kg/t/rok.</w:t>
      </w:r>
    </w:p>
    <w:p w14:paraId="79C3FF0B" w14:textId="77777777" w:rsidR="004A42F0" w:rsidRPr="00776A6A" w:rsidRDefault="004A42F0" w:rsidP="004A42F0">
      <w:pPr>
        <w:widowControl w:val="0"/>
        <w:rPr>
          <w:rFonts w:eastAsia="Times New Roman"/>
          <w:color w:val="auto"/>
          <w:lang w:eastAsia="cs-CZ"/>
        </w:rPr>
      </w:pPr>
      <w:r w:rsidRPr="00776A6A">
        <w:rPr>
          <w:rFonts w:eastAsia="Times New Roman"/>
          <w:color w:val="auto"/>
          <w:lang w:eastAsia="cs-CZ"/>
        </w:rPr>
        <w:t>Odůvodnění bude doloženo příjemcem dotace, prostřednictvím projektanta nebo energetického specialisty a výše uvedené hodnoty budou uvedené v energetickém posudku.</w:t>
      </w:r>
    </w:p>
    <w:p w14:paraId="6F1C3CE8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2959907C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6C08B6CB" w14:textId="77777777" w:rsidR="004A42F0" w:rsidRPr="00BF0FD7" w:rsidRDefault="004A42F0" w:rsidP="004A42F0">
      <w:pPr>
        <w:pStyle w:val="Nadpis3"/>
        <w:keepNext w:val="0"/>
        <w:widowControl w:val="0"/>
        <w:numPr>
          <w:ilvl w:val="0"/>
          <w:numId w:val="32"/>
        </w:numPr>
        <w:spacing w:before="0" w:after="120"/>
        <w:jc w:val="left"/>
      </w:pPr>
      <w:bookmarkStart w:id="8" w:name="_Toc95735843"/>
      <w:bookmarkStart w:id="9" w:name="_Toc107405265"/>
      <w:r w:rsidRPr="00BF0FD7">
        <w:t>Cíl přizpůsobování se změně klimatu a cíl udržitelné využívání a ochrana vodních zdrojů</w:t>
      </w:r>
      <w:bookmarkEnd w:id="8"/>
      <w:bookmarkEnd w:id="9"/>
    </w:p>
    <w:p w14:paraId="25596A1B" w14:textId="77777777" w:rsidR="004A42F0" w:rsidRPr="00BF0FD7" w:rsidRDefault="004A42F0" w:rsidP="004A42F0">
      <w:pPr>
        <w:widowControl w:val="0"/>
        <w:ind w:left="360"/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248"/>
        <w:gridCol w:w="6819"/>
      </w:tblGrid>
      <w:tr w:rsidR="004A42F0" w:rsidRPr="00BF0FD7" w14:paraId="7ED77319" w14:textId="77777777" w:rsidTr="001F4621">
        <w:tc>
          <w:tcPr>
            <w:tcW w:w="2248" w:type="dxa"/>
          </w:tcPr>
          <w:p w14:paraId="7248580F" w14:textId="77777777" w:rsidR="004A42F0" w:rsidRPr="00BF0FD7" w:rsidRDefault="004A42F0" w:rsidP="001F4621">
            <w:pPr>
              <w:widowControl w:val="0"/>
              <w:rPr>
                <w:b/>
                <w:bCs/>
              </w:rPr>
            </w:pPr>
            <w:r w:rsidRPr="00BF0FD7">
              <w:rPr>
                <w:b/>
                <w:bCs/>
              </w:rPr>
              <w:t xml:space="preserve">Hlavní dopady </w:t>
            </w:r>
          </w:p>
        </w:tc>
        <w:tc>
          <w:tcPr>
            <w:tcW w:w="6819" w:type="dxa"/>
          </w:tcPr>
          <w:p w14:paraId="5C6737E0" w14:textId="77777777" w:rsidR="004A42F0" w:rsidRPr="00BF0FD7" w:rsidRDefault="004A42F0" w:rsidP="001F4621">
            <w:pPr>
              <w:widowControl w:val="0"/>
            </w:pPr>
            <w:r w:rsidRPr="00BF0FD7">
              <w:t>Realizovaná investiční opatření minimalizující dopady včetně odůvodnění</w:t>
            </w:r>
          </w:p>
        </w:tc>
      </w:tr>
      <w:tr w:rsidR="004A42F0" w:rsidRPr="00BF0FD7" w14:paraId="22DDD54B" w14:textId="77777777" w:rsidTr="001F4621">
        <w:tc>
          <w:tcPr>
            <w:tcW w:w="2248" w:type="dxa"/>
          </w:tcPr>
          <w:p w14:paraId="2A678769" w14:textId="77777777" w:rsidR="004A42F0" w:rsidRPr="00BF0FD7" w:rsidRDefault="004A42F0" w:rsidP="001F4621">
            <w:pPr>
              <w:widowControl w:val="0"/>
            </w:pPr>
            <w:r w:rsidRPr="00BF0FD7">
              <w:t>Dlouhodobé sucho</w:t>
            </w:r>
          </w:p>
        </w:tc>
        <w:tc>
          <w:tcPr>
            <w:tcW w:w="6819" w:type="dxa"/>
          </w:tcPr>
          <w:p w14:paraId="60C28E66" w14:textId="77777777" w:rsidR="004A42F0" w:rsidRPr="00BF0FD7" w:rsidRDefault="004A42F0" w:rsidP="001F4621">
            <w:pPr>
              <w:widowControl w:val="0"/>
            </w:pPr>
          </w:p>
        </w:tc>
      </w:tr>
      <w:tr w:rsidR="004A42F0" w:rsidRPr="00BF0FD7" w14:paraId="3FAE7CEC" w14:textId="77777777" w:rsidTr="001F4621">
        <w:tc>
          <w:tcPr>
            <w:tcW w:w="2248" w:type="dxa"/>
          </w:tcPr>
          <w:p w14:paraId="334C69DA" w14:textId="77777777" w:rsidR="004A42F0" w:rsidRPr="00BF0FD7" w:rsidRDefault="004A42F0" w:rsidP="001F4621">
            <w:pPr>
              <w:widowControl w:val="0"/>
            </w:pPr>
            <w:r w:rsidRPr="00BF0FD7">
              <w:t xml:space="preserve">Povodně a přívalové </w:t>
            </w:r>
            <w:r w:rsidRPr="00BF0FD7">
              <w:lastRenderedPageBreak/>
              <w:t>povodně</w:t>
            </w:r>
          </w:p>
        </w:tc>
        <w:tc>
          <w:tcPr>
            <w:tcW w:w="6819" w:type="dxa"/>
          </w:tcPr>
          <w:p w14:paraId="15858E3D" w14:textId="77777777" w:rsidR="004A42F0" w:rsidRPr="00BF0FD7" w:rsidRDefault="004A42F0" w:rsidP="001F4621">
            <w:pPr>
              <w:widowControl w:val="0"/>
            </w:pPr>
          </w:p>
        </w:tc>
      </w:tr>
      <w:tr w:rsidR="004A42F0" w:rsidRPr="00BF0FD7" w14:paraId="7C65A125" w14:textId="77777777" w:rsidTr="001F4621">
        <w:tc>
          <w:tcPr>
            <w:tcW w:w="2248" w:type="dxa"/>
          </w:tcPr>
          <w:p w14:paraId="23FB3D82" w14:textId="77777777" w:rsidR="004A42F0" w:rsidRPr="00BF0FD7" w:rsidRDefault="004A42F0" w:rsidP="001F4621">
            <w:pPr>
              <w:widowControl w:val="0"/>
            </w:pPr>
            <w:r w:rsidRPr="00BF0FD7">
              <w:t>Vydatné srážky</w:t>
            </w:r>
          </w:p>
        </w:tc>
        <w:tc>
          <w:tcPr>
            <w:tcW w:w="6819" w:type="dxa"/>
          </w:tcPr>
          <w:p w14:paraId="78735A8C" w14:textId="77777777" w:rsidR="004A42F0" w:rsidRPr="00BF0FD7" w:rsidRDefault="004A42F0" w:rsidP="001F4621">
            <w:pPr>
              <w:widowControl w:val="0"/>
            </w:pPr>
          </w:p>
        </w:tc>
      </w:tr>
      <w:tr w:rsidR="004A42F0" w:rsidRPr="00BF0FD7" w14:paraId="0B2B2C8C" w14:textId="77777777" w:rsidTr="001F4621">
        <w:tc>
          <w:tcPr>
            <w:tcW w:w="2248" w:type="dxa"/>
          </w:tcPr>
          <w:p w14:paraId="61E4050C" w14:textId="77777777" w:rsidR="004A42F0" w:rsidRPr="00BF0FD7" w:rsidRDefault="004A42F0" w:rsidP="001F4621">
            <w:pPr>
              <w:widowControl w:val="0"/>
            </w:pPr>
            <w:r w:rsidRPr="00BF0FD7">
              <w:t>Zvyšování teplot</w:t>
            </w:r>
          </w:p>
        </w:tc>
        <w:tc>
          <w:tcPr>
            <w:tcW w:w="6819" w:type="dxa"/>
          </w:tcPr>
          <w:p w14:paraId="03A279E6" w14:textId="77777777" w:rsidR="004A42F0" w:rsidRPr="00BF0FD7" w:rsidRDefault="004A42F0" w:rsidP="001F4621">
            <w:pPr>
              <w:widowControl w:val="0"/>
            </w:pPr>
          </w:p>
        </w:tc>
      </w:tr>
      <w:tr w:rsidR="004A42F0" w:rsidRPr="00BF0FD7" w14:paraId="2C6B6D9F" w14:textId="77777777" w:rsidTr="001F4621">
        <w:tc>
          <w:tcPr>
            <w:tcW w:w="2248" w:type="dxa"/>
          </w:tcPr>
          <w:p w14:paraId="1258AEFC" w14:textId="77777777" w:rsidR="004A42F0" w:rsidRPr="00BF0FD7" w:rsidRDefault="004A42F0" w:rsidP="001F4621">
            <w:pPr>
              <w:widowControl w:val="0"/>
            </w:pPr>
            <w:r w:rsidRPr="00BF0FD7">
              <w:t>Extrémně vysoké teploty</w:t>
            </w:r>
          </w:p>
        </w:tc>
        <w:tc>
          <w:tcPr>
            <w:tcW w:w="6819" w:type="dxa"/>
          </w:tcPr>
          <w:p w14:paraId="6F3DAEE5" w14:textId="77777777" w:rsidR="004A42F0" w:rsidRPr="00BF0FD7" w:rsidRDefault="004A42F0" w:rsidP="001F4621">
            <w:pPr>
              <w:widowControl w:val="0"/>
            </w:pPr>
          </w:p>
        </w:tc>
      </w:tr>
      <w:tr w:rsidR="004A42F0" w:rsidRPr="00BF0FD7" w14:paraId="0A076CB7" w14:textId="77777777" w:rsidTr="001F4621">
        <w:tc>
          <w:tcPr>
            <w:tcW w:w="2248" w:type="dxa"/>
          </w:tcPr>
          <w:p w14:paraId="30592BED" w14:textId="77777777" w:rsidR="004A42F0" w:rsidRPr="00BF0FD7" w:rsidRDefault="004A42F0" w:rsidP="001F4621">
            <w:pPr>
              <w:widowControl w:val="0"/>
            </w:pPr>
            <w:r w:rsidRPr="00BF0FD7">
              <w:t>Extrémní vítr</w:t>
            </w:r>
          </w:p>
        </w:tc>
        <w:tc>
          <w:tcPr>
            <w:tcW w:w="6819" w:type="dxa"/>
          </w:tcPr>
          <w:p w14:paraId="67F701A8" w14:textId="77777777" w:rsidR="004A42F0" w:rsidRPr="00BF0FD7" w:rsidRDefault="004A42F0" w:rsidP="001F4621">
            <w:pPr>
              <w:widowControl w:val="0"/>
            </w:pPr>
          </w:p>
        </w:tc>
      </w:tr>
      <w:tr w:rsidR="004A42F0" w:rsidRPr="00BF0FD7" w14:paraId="18525EE3" w14:textId="77777777" w:rsidTr="001F4621">
        <w:tc>
          <w:tcPr>
            <w:tcW w:w="2248" w:type="dxa"/>
          </w:tcPr>
          <w:p w14:paraId="59E2646C" w14:textId="77777777" w:rsidR="004A42F0" w:rsidRPr="00BF0FD7" w:rsidRDefault="004A42F0" w:rsidP="001F4621">
            <w:pPr>
              <w:widowControl w:val="0"/>
            </w:pPr>
            <w:r w:rsidRPr="00BF0FD7">
              <w:t>Požáry vegetace</w:t>
            </w:r>
          </w:p>
        </w:tc>
        <w:tc>
          <w:tcPr>
            <w:tcW w:w="6819" w:type="dxa"/>
          </w:tcPr>
          <w:p w14:paraId="5D33690F" w14:textId="77777777" w:rsidR="004A42F0" w:rsidRPr="00BF0FD7" w:rsidRDefault="004A42F0" w:rsidP="001F4621">
            <w:pPr>
              <w:widowControl w:val="0"/>
            </w:pPr>
          </w:p>
        </w:tc>
      </w:tr>
      <w:tr w:rsidR="004A42F0" w:rsidRPr="00BF0FD7" w14:paraId="7A1C8B3F" w14:textId="77777777" w:rsidTr="001F4621">
        <w:tc>
          <w:tcPr>
            <w:tcW w:w="2248" w:type="dxa"/>
          </w:tcPr>
          <w:p w14:paraId="2B0ED64D" w14:textId="77777777" w:rsidR="004A42F0" w:rsidRPr="00D72BB7" w:rsidRDefault="004A42F0" w:rsidP="001F4621">
            <w:pPr>
              <w:widowControl w:val="0"/>
              <w:rPr>
                <w:bCs/>
              </w:rPr>
            </w:pPr>
            <w:r w:rsidRPr="00D72BB7">
              <w:rPr>
                <w:bCs/>
              </w:rPr>
              <w:t>Místně specifické dopady</w:t>
            </w:r>
          </w:p>
        </w:tc>
        <w:tc>
          <w:tcPr>
            <w:tcW w:w="6819" w:type="dxa"/>
          </w:tcPr>
          <w:p w14:paraId="73400569" w14:textId="77777777" w:rsidR="004A42F0" w:rsidRPr="00BF0FD7" w:rsidRDefault="004A42F0" w:rsidP="001F4621">
            <w:pPr>
              <w:widowControl w:val="0"/>
            </w:pPr>
          </w:p>
        </w:tc>
      </w:tr>
    </w:tbl>
    <w:p w14:paraId="3416E4B3" w14:textId="77777777" w:rsidR="004A42F0" w:rsidRDefault="004A42F0" w:rsidP="004A42F0">
      <w:pPr>
        <w:widowControl w:val="0"/>
      </w:pPr>
      <w:r w:rsidRPr="00271A64">
        <w:t>*Jedno investiční opatření může minimalizovat více negativních dopadů změny klimatu. Investiční opatření musejí být v souladu s projektovou dokumentací ke stavebnímu povolení</w:t>
      </w:r>
    </w:p>
    <w:p w14:paraId="6D5087C2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45750A6C" w14:textId="77777777" w:rsidR="004A42F0" w:rsidRPr="00986A94" w:rsidRDefault="004A42F0" w:rsidP="004A42F0">
      <w:pPr>
        <w:widowControl w:val="0"/>
        <w:rPr>
          <w:b/>
        </w:rPr>
      </w:pPr>
      <w:r w:rsidRPr="00986A94">
        <w:rPr>
          <w:b/>
        </w:rPr>
        <w:t>Úsporná spotřeba vody</w:t>
      </w:r>
    </w:p>
    <w:p w14:paraId="361DAF45" w14:textId="77777777" w:rsidR="004A42F0" w:rsidRPr="00776A6A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Při pořizování vnitřního vybavení budovy bude optimalizována spotřeba vody prostřednictvím instalace produktů, které mají dvě nejvyšší hodnocení EU </w:t>
      </w:r>
      <w:proofErr w:type="spellStart"/>
      <w:r w:rsidRPr="00776A6A">
        <w:rPr>
          <w:rFonts w:asciiTheme="minorHAnsi" w:hAnsiTheme="minorHAnsi" w:cstheme="minorHAnsi"/>
          <w:color w:val="auto"/>
          <w:sz w:val="22"/>
          <w:szCs w:val="22"/>
        </w:rPr>
        <w:t>Water</w:t>
      </w:r>
      <w:proofErr w:type="spellEnd"/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 Label. Příjemce dotace předloží u všech těchto výrobků příslušné certifikáty (technické listy).</w:t>
      </w:r>
    </w:p>
    <w:tbl>
      <w:tblPr>
        <w:tblStyle w:val="Mkatabulky"/>
        <w:tblW w:w="7305" w:type="dxa"/>
        <w:tblLook w:val="04A0" w:firstRow="1" w:lastRow="0" w:firstColumn="1" w:lastColumn="0" w:noHBand="0" w:noVBand="1"/>
      </w:tblPr>
      <w:tblGrid>
        <w:gridCol w:w="2162"/>
        <w:gridCol w:w="1805"/>
        <w:gridCol w:w="3338"/>
      </w:tblGrid>
      <w:tr w:rsidR="004A42F0" w:rsidRPr="008A4F5A" w14:paraId="6570BADF" w14:textId="77777777" w:rsidTr="001F4621">
        <w:tc>
          <w:tcPr>
            <w:tcW w:w="2162" w:type="dxa"/>
          </w:tcPr>
          <w:p w14:paraId="2BD9C25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Název a druh výrobku</w:t>
            </w:r>
          </w:p>
        </w:tc>
        <w:tc>
          <w:tcPr>
            <w:tcW w:w="1805" w:type="dxa"/>
          </w:tcPr>
          <w:p w14:paraId="5C010FA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množství</w:t>
            </w:r>
          </w:p>
        </w:tc>
        <w:tc>
          <w:tcPr>
            <w:tcW w:w="3338" w:type="dxa"/>
          </w:tcPr>
          <w:p w14:paraId="2FC2F654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Předložený certifikát</w:t>
            </w:r>
          </w:p>
        </w:tc>
      </w:tr>
      <w:tr w:rsidR="004A42F0" w:rsidRPr="008A4F5A" w14:paraId="19F8A80E" w14:textId="77777777" w:rsidTr="001F4621">
        <w:trPr>
          <w:trHeight w:val="362"/>
        </w:trPr>
        <w:tc>
          <w:tcPr>
            <w:tcW w:w="2162" w:type="dxa"/>
          </w:tcPr>
          <w:p w14:paraId="30BDEC5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012135C1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7217E6A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6B977FB8" w14:textId="77777777" w:rsidTr="001F4621">
        <w:tc>
          <w:tcPr>
            <w:tcW w:w="2162" w:type="dxa"/>
          </w:tcPr>
          <w:p w14:paraId="7353EB30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757282ED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4515ACE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7614B725" w14:textId="77777777" w:rsidTr="001F4621">
        <w:tc>
          <w:tcPr>
            <w:tcW w:w="2162" w:type="dxa"/>
          </w:tcPr>
          <w:p w14:paraId="2E0BB992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12DAD61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705488E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13C2ED52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38172567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6B02A640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5FB0CA2D" w14:textId="77777777" w:rsidR="004A42F0" w:rsidRDefault="004A42F0" w:rsidP="004A42F0">
      <w:pPr>
        <w:pStyle w:val="Nadpis3"/>
        <w:keepNext w:val="0"/>
        <w:widowControl w:val="0"/>
        <w:numPr>
          <w:ilvl w:val="0"/>
          <w:numId w:val="32"/>
        </w:numPr>
        <w:spacing w:before="0" w:after="120"/>
        <w:jc w:val="left"/>
      </w:pPr>
      <w:bookmarkStart w:id="10" w:name="_Toc107405266"/>
      <w:r>
        <w:t>Cíl oběhové hospodářství</w:t>
      </w:r>
      <w:bookmarkEnd w:id="10"/>
    </w:p>
    <w:p w14:paraId="78CC7EFE" w14:textId="77777777" w:rsidR="00722FB6" w:rsidRPr="00776A6A" w:rsidRDefault="00722FB6" w:rsidP="00CF3E04">
      <w:pPr>
        <w:widowControl w:val="0"/>
        <w:ind w:left="360"/>
        <w:rPr>
          <w:rFonts w:asciiTheme="minorHAnsi" w:hAnsiTheme="minorHAnsi" w:cstheme="minorHAnsi"/>
          <w:color w:val="auto"/>
          <w:sz w:val="22"/>
          <w:szCs w:val="22"/>
          <w:u w:val="single"/>
          <w:lang w:eastAsia="cs-CZ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  <w:u w:val="single"/>
          <w:lang w:eastAsia="cs-CZ"/>
        </w:rPr>
        <w:t>Demolice a výstavba, rekonstrukce</w:t>
      </w:r>
    </w:p>
    <w:p w14:paraId="5830CCA9" w14:textId="77777777" w:rsidR="00722FB6" w:rsidRPr="00776A6A" w:rsidRDefault="00722FB6" w:rsidP="00CF3E04">
      <w:pPr>
        <w:widowControl w:val="0"/>
        <w:rPr>
          <w:rFonts w:asciiTheme="minorHAnsi" w:hAnsiTheme="minorHAnsi" w:cstheme="minorHAnsi"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  <w:lang w:eastAsia="cs-CZ"/>
        </w:rPr>
        <w:t>Činnost nesmí významně poškodit enviromentální cíl vzhledem k nehospodárnosti v použití materiálu nebo v přímém a nepřímém využívání přírodních zdrojů. Dbá se na omezení spalování a dlouhodobé odstraňování odpadu, které může způsobit významné a dlouhodobé škody na životním prostředí.</w:t>
      </w:r>
    </w:p>
    <w:p w14:paraId="632848EF" w14:textId="77777777" w:rsidR="00722FB6" w:rsidRPr="00776A6A" w:rsidRDefault="00722FB6" w:rsidP="00CF3E04">
      <w:pPr>
        <w:widowControl w:val="0"/>
        <w:rPr>
          <w:rFonts w:asciiTheme="minorHAnsi" w:hAnsiTheme="minorHAnsi" w:cstheme="minorHAnsi"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  <w:lang w:eastAsia="cs-CZ"/>
        </w:rPr>
        <w:t>Nejméně 70 % (hmotnostních) stavebního a demoličního odpadu neklasifikovaného jako nebezpečný vzniklého na staveništi je připraveno k opětovnému použití, recyklaci a k jiným druhům materiálového využití, a to včetně zásypů.</w:t>
      </w:r>
    </w:p>
    <w:p w14:paraId="58AF12E1" w14:textId="77777777" w:rsidR="00722FB6" w:rsidRPr="00776A6A" w:rsidRDefault="00722FB6" w:rsidP="00722FB6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 xml:space="preserve">Na základě technické zprávy bude před zahájením demolice nebo rekonstrukce objektu provedena bližší identifikace předpokládaných odpadních materiálů na staveništi zahrnující také obalové materiály stavebních výrobků. Identifikace bude provedena kvalifikovaných odhadem s ohledem na druh odpadu a jeho zatřídění (podle vyhlášky č. 8/2021 Sb.) a stanovení přibližného objemu (hmotnosti). Zvlášť bude identifikován nebezpečný odpad v rozsahu vyhlášky č. 8/2021 Sb. Nebezpečný odpad se nezapočítává do hmotnostního procenta stavebních a demoličních odpadů (min. 70 %), které jsou připraveny k opětovnému použití, recyklaci a k jiným druhům materiálového využití, </w:t>
      </w:r>
      <w:r w:rsidRPr="00776A6A">
        <w:rPr>
          <w:rFonts w:asciiTheme="minorHAnsi" w:hAnsiTheme="minorHAnsi" w:cstheme="minorHAnsi"/>
          <w:color w:val="auto"/>
          <w:sz w:val="22"/>
          <w:szCs w:val="22"/>
        </w:rPr>
        <w:lastRenderedPageBreak/>
        <w:t>a to včetně zásypů.</w:t>
      </w:r>
    </w:p>
    <w:p w14:paraId="2A40A693" w14:textId="77777777" w:rsidR="00722FB6" w:rsidRPr="00776A6A" w:rsidRDefault="00722FB6" w:rsidP="00722FB6">
      <w:pPr>
        <w:widowControl w:val="0"/>
        <w:rPr>
          <w:rFonts w:asciiTheme="minorHAnsi" w:hAnsiTheme="minorHAnsi" w:cstheme="minorHAnsi"/>
          <w:color w:val="auto"/>
          <w:sz w:val="22"/>
          <w:szCs w:val="22"/>
        </w:rPr>
      </w:pPr>
      <w:r w:rsidRPr="00776A6A">
        <w:rPr>
          <w:rFonts w:asciiTheme="minorHAnsi" w:hAnsiTheme="minorHAnsi" w:cstheme="minorHAnsi"/>
          <w:color w:val="auto"/>
          <w:sz w:val="22"/>
          <w:szCs w:val="22"/>
        </w:rPr>
        <w:t>Pro identifikaci odpadních materiálů na staveništi bude využit tento vzor (zjednodušený plán nakládání s odpadem). Identifikaci předloží příjemce dotace a bude potvrzena příslušným technickým dozorem investora. Plán bude součástí stavebního deníku.</w:t>
      </w:r>
    </w:p>
    <w:p w14:paraId="42E00517" w14:textId="77777777" w:rsidR="00722FB6" w:rsidRPr="00776A6A" w:rsidRDefault="00722FB6" w:rsidP="00722FB6">
      <w:pPr>
        <w:widowControl w:val="0"/>
        <w:rPr>
          <w:rFonts w:asciiTheme="minorHAnsi" w:hAnsiTheme="minorHAnsi" w:cstheme="minorHAnsi"/>
          <w:sz w:val="22"/>
          <w:szCs w:val="22"/>
        </w:rPr>
      </w:pPr>
    </w:p>
    <w:p w14:paraId="13741698" w14:textId="30BFA314" w:rsidR="00722FB6" w:rsidRPr="008A4F5A" w:rsidRDefault="00722FB6" w:rsidP="00722FB6">
      <w:pPr>
        <w:widowControl w:val="0"/>
      </w:pPr>
      <w:r w:rsidRPr="008A4F5A">
        <w:t>VZOR</w:t>
      </w:r>
    </w:p>
    <w:p w14:paraId="679388F4" w14:textId="77777777" w:rsidR="00722FB6" w:rsidRPr="008A4F5A" w:rsidRDefault="00722FB6" w:rsidP="00722FB6">
      <w:pPr>
        <w:widowControl w:val="0"/>
        <w:spacing w:after="0"/>
        <w:rPr>
          <w:i/>
          <w:iCs/>
          <w:u w:val="single"/>
        </w:rPr>
      </w:pPr>
      <w:r w:rsidRPr="008A4F5A">
        <w:rPr>
          <w:i/>
          <w:iCs/>
          <w:u w:val="single"/>
        </w:rPr>
        <w:t>Zjednodušený plán nakládání s odpadem</w:t>
      </w:r>
    </w:p>
    <w:p w14:paraId="1C4913F7" w14:textId="77777777" w:rsidR="004A42F0" w:rsidRPr="00ED6158" w:rsidRDefault="004A42F0" w:rsidP="004A42F0">
      <w:pPr>
        <w:pStyle w:val="Odstavecseseznamem"/>
        <w:widowControl w:val="0"/>
        <w:rPr>
          <w:i/>
          <w:iCs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762"/>
        <w:gridCol w:w="2162"/>
        <w:gridCol w:w="1805"/>
        <w:gridCol w:w="3338"/>
      </w:tblGrid>
      <w:tr w:rsidR="004A42F0" w:rsidRPr="008A4F5A" w14:paraId="2AB0BB42" w14:textId="77777777" w:rsidTr="001F4621">
        <w:tc>
          <w:tcPr>
            <w:tcW w:w="1762" w:type="dxa"/>
          </w:tcPr>
          <w:p w14:paraId="3A8FA89F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Katalogové číslo</w:t>
            </w:r>
          </w:p>
        </w:tc>
        <w:tc>
          <w:tcPr>
            <w:tcW w:w="2162" w:type="dxa"/>
          </w:tcPr>
          <w:p w14:paraId="3444B6F3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Název a druh odpadu</w:t>
            </w:r>
          </w:p>
        </w:tc>
        <w:tc>
          <w:tcPr>
            <w:tcW w:w="1805" w:type="dxa"/>
          </w:tcPr>
          <w:p w14:paraId="4B2B644A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Odhadovaná hmotnost</w:t>
            </w:r>
          </w:p>
        </w:tc>
        <w:tc>
          <w:tcPr>
            <w:tcW w:w="3338" w:type="dxa"/>
          </w:tcPr>
          <w:p w14:paraId="5AB346D2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 w:rsidRPr="008A4F5A">
              <w:rPr>
                <w:i/>
                <w:iCs/>
              </w:rPr>
              <w:t>Předpokládaný způsob naložení s odpadem (dle hierarchie)</w:t>
            </w:r>
          </w:p>
        </w:tc>
      </w:tr>
      <w:tr w:rsidR="004A42F0" w:rsidRPr="008A4F5A" w14:paraId="458D12A3" w14:textId="77777777" w:rsidTr="001F4621">
        <w:trPr>
          <w:trHeight w:val="362"/>
        </w:trPr>
        <w:tc>
          <w:tcPr>
            <w:tcW w:w="1762" w:type="dxa"/>
          </w:tcPr>
          <w:p w14:paraId="590CAC11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2162" w:type="dxa"/>
          </w:tcPr>
          <w:p w14:paraId="5631E0E4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528D6710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15B7C1A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5C0FD1F9" w14:textId="77777777" w:rsidTr="001F4621">
        <w:tc>
          <w:tcPr>
            <w:tcW w:w="1762" w:type="dxa"/>
          </w:tcPr>
          <w:p w14:paraId="5010D16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2162" w:type="dxa"/>
          </w:tcPr>
          <w:p w14:paraId="303F371D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04321853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10DBD1E4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59D9B6E3" w14:textId="77777777" w:rsidTr="001F4621">
        <w:tc>
          <w:tcPr>
            <w:tcW w:w="1762" w:type="dxa"/>
          </w:tcPr>
          <w:p w14:paraId="65F7157F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2162" w:type="dxa"/>
          </w:tcPr>
          <w:p w14:paraId="53009362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5823062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52B08B3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104A109D" w14:textId="77777777" w:rsidR="004A42F0" w:rsidRPr="00ED6158" w:rsidRDefault="004A42F0" w:rsidP="004A42F0">
      <w:pPr>
        <w:widowControl w:val="0"/>
        <w:rPr>
          <w:iCs/>
          <w:lang w:eastAsia="cs-CZ"/>
        </w:rPr>
      </w:pPr>
    </w:p>
    <w:p w14:paraId="046C0AF7" w14:textId="77777777" w:rsidR="004A42F0" w:rsidRPr="00ED6158" w:rsidRDefault="004A42F0" w:rsidP="004A42F0">
      <w:pPr>
        <w:widowControl w:val="0"/>
        <w:rPr>
          <w:iCs/>
          <w:lang w:eastAsia="cs-CZ"/>
        </w:rPr>
      </w:pPr>
    </w:p>
    <w:p w14:paraId="3FED547C" w14:textId="77777777" w:rsidR="004A42F0" w:rsidRPr="00ED6158" w:rsidRDefault="004A42F0" w:rsidP="004A42F0">
      <w:pPr>
        <w:widowControl w:val="0"/>
        <w:rPr>
          <w:b/>
          <w:iCs/>
          <w:lang w:eastAsia="cs-CZ"/>
        </w:rPr>
      </w:pPr>
      <w:r w:rsidRPr="00ED6158">
        <w:rPr>
          <w:b/>
          <w:iCs/>
          <w:lang w:eastAsia="cs-CZ"/>
        </w:rPr>
        <w:t>Použití dřeva z trvale obhospodařených lesů</w:t>
      </w:r>
    </w:p>
    <w:p w14:paraId="0ECF0014" w14:textId="77777777" w:rsidR="004A42F0" w:rsidRPr="00776A6A" w:rsidRDefault="004A42F0" w:rsidP="004A42F0">
      <w:pPr>
        <w:widowControl w:val="0"/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Příjemce dotace doloží certifikát potvrzující, že dřevo používané na stavbě pochází z trvale obhospodařovaných zdrojů. Druhy </w:t>
      </w:r>
      <w:proofErr w:type="spellStart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certifkátu</w:t>
      </w:r>
      <w:proofErr w:type="spellEnd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jsou buď PEFC (</w:t>
      </w:r>
      <w:proofErr w:type="spellStart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Programme</w:t>
      </w:r>
      <w:proofErr w:type="spellEnd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for</w:t>
      </w:r>
      <w:proofErr w:type="spellEnd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the</w:t>
      </w:r>
      <w:proofErr w:type="spellEnd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Endorsement</w:t>
      </w:r>
      <w:proofErr w:type="spellEnd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of</w:t>
      </w:r>
      <w:proofErr w:type="spellEnd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Forest</w:t>
      </w:r>
      <w:proofErr w:type="spellEnd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Certification</w:t>
      </w:r>
      <w:proofErr w:type="spellEnd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Schemes</w:t>
      </w:r>
      <w:proofErr w:type="spellEnd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) nebo FSC (</w:t>
      </w:r>
      <w:proofErr w:type="spellStart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Forest</w:t>
      </w:r>
      <w:proofErr w:type="spellEnd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Stewardship</w:t>
      </w:r>
      <w:proofErr w:type="spellEnd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 xml:space="preserve"> </w:t>
      </w:r>
      <w:proofErr w:type="spellStart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Council</w:t>
      </w:r>
      <w:proofErr w:type="spellEnd"/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) nebo jejich ekvivalent.</w:t>
      </w:r>
    </w:p>
    <w:p w14:paraId="3642A960" w14:textId="77777777" w:rsidR="004A42F0" w:rsidRPr="00776A6A" w:rsidRDefault="004A42F0" w:rsidP="004A42F0">
      <w:pPr>
        <w:widowControl w:val="0"/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iCs/>
          <w:color w:val="auto"/>
          <w:sz w:val="22"/>
          <w:szCs w:val="22"/>
          <w:lang w:eastAsia="cs-CZ"/>
        </w:rPr>
        <w:t>Kromě vyplnění níže uvedené tabulky budou předloženy doklady materiálového složení výrobků použitých na stavbě.</w:t>
      </w:r>
    </w:p>
    <w:tbl>
      <w:tblPr>
        <w:tblStyle w:val="Mkatabulky"/>
        <w:tblW w:w="7305" w:type="dxa"/>
        <w:tblLook w:val="04A0" w:firstRow="1" w:lastRow="0" w:firstColumn="1" w:lastColumn="0" w:noHBand="0" w:noVBand="1"/>
      </w:tblPr>
      <w:tblGrid>
        <w:gridCol w:w="2162"/>
        <w:gridCol w:w="1805"/>
        <w:gridCol w:w="3338"/>
      </w:tblGrid>
      <w:tr w:rsidR="004A42F0" w:rsidRPr="008A4F5A" w14:paraId="0CE984B2" w14:textId="77777777" w:rsidTr="001F4621">
        <w:tc>
          <w:tcPr>
            <w:tcW w:w="2162" w:type="dxa"/>
          </w:tcPr>
          <w:p w14:paraId="3668A4DD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Název a druh materiálu</w:t>
            </w:r>
          </w:p>
        </w:tc>
        <w:tc>
          <w:tcPr>
            <w:tcW w:w="1805" w:type="dxa"/>
          </w:tcPr>
          <w:p w14:paraId="678975B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množství</w:t>
            </w:r>
          </w:p>
        </w:tc>
        <w:tc>
          <w:tcPr>
            <w:tcW w:w="3338" w:type="dxa"/>
          </w:tcPr>
          <w:p w14:paraId="1F75FFF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Předložený certifikát</w:t>
            </w:r>
          </w:p>
        </w:tc>
      </w:tr>
      <w:tr w:rsidR="004A42F0" w:rsidRPr="008A4F5A" w14:paraId="157F4931" w14:textId="77777777" w:rsidTr="001F4621">
        <w:trPr>
          <w:trHeight w:val="362"/>
        </w:trPr>
        <w:tc>
          <w:tcPr>
            <w:tcW w:w="2162" w:type="dxa"/>
          </w:tcPr>
          <w:p w14:paraId="75944B9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5525097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08EA099C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2E172F20" w14:textId="77777777" w:rsidTr="001F4621">
        <w:tc>
          <w:tcPr>
            <w:tcW w:w="2162" w:type="dxa"/>
          </w:tcPr>
          <w:p w14:paraId="4F279406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1805" w:type="dxa"/>
          </w:tcPr>
          <w:p w14:paraId="3C667F00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3338" w:type="dxa"/>
          </w:tcPr>
          <w:p w14:paraId="4322EE27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4A77BA1D" w14:textId="77777777" w:rsidR="004A42F0" w:rsidRPr="004B7A0E" w:rsidRDefault="004A42F0" w:rsidP="004A42F0">
      <w:pPr>
        <w:ind w:firstLine="708"/>
        <w:rPr>
          <w:rFonts w:asciiTheme="minorHAnsi" w:hAnsiTheme="minorHAnsi" w:cstheme="minorHAnsi"/>
        </w:rPr>
      </w:pPr>
    </w:p>
    <w:p w14:paraId="6E2BBC0E" w14:textId="77777777" w:rsidR="004A42F0" w:rsidRDefault="004A42F0" w:rsidP="004A42F0">
      <w:pPr>
        <w:pStyle w:val="Nadpis3"/>
        <w:keepNext w:val="0"/>
        <w:widowControl w:val="0"/>
        <w:numPr>
          <w:ilvl w:val="0"/>
          <w:numId w:val="32"/>
        </w:numPr>
        <w:spacing w:before="0" w:after="120"/>
        <w:jc w:val="left"/>
      </w:pPr>
      <w:bookmarkStart w:id="11" w:name="_Toc107405267"/>
      <w:r w:rsidRPr="00F53F36">
        <w:t xml:space="preserve">Cíl </w:t>
      </w:r>
      <w:r>
        <w:t>prevence a omezování znečištění</w:t>
      </w:r>
      <w:bookmarkEnd w:id="11"/>
    </w:p>
    <w:p w14:paraId="1EDA56E8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3944B276" w14:textId="77777777" w:rsidR="004A42F0" w:rsidRPr="00776A6A" w:rsidRDefault="004A42F0" w:rsidP="004A42F0">
      <w:pPr>
        <w:widowControl w:val="0"/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</w:pPr>
      <w:r w:rsidRPr="00776A6A">
        <w:rPr>
          <w:rFonts w:asciiTheme="minorHAnsi" w:hAnsiTheme="minorHAnsi" w:cstheme="minorHAnsi"/>
          <w:i/>
          <w:iCs/>
          <w:color w:val="auto"/>
          <w:sz w:val="22"/>
          <w:szCs w:val="22"/>
          <w:lang w:eastAsia="cs-CZ"/>
        </w:rPr>
        <w:t>Při výkonu stavebních (pozn. případně demoličních) prací jsme postupovali tak, abychom významně nezvýšili emise znečisťujících látek do ovzduší, okolní vody a krajiny, stejně tak jsme během stavby prováděli zmírňující opatření za účelem snižování prachu a hluku. Tato opatření popisuji níže. Jsem seznámen se seznamem znečišťujících látek dle nařízení vlády č. 145/2008 Sb. a přílohy č. 1 zákona č. 254/2001 Sb. a níže specifikuji ty, které jsme během stavby evidovali.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84"/>
      </w:tblGrid>
      <w:tr w:rsidR="004A42F0" w:rsidRPr="0021328E" w14:paraId="789B4900" w14:textId="77777777" w:rsidTr="001F4621">
        <w:tc>
          <w:tcPr>
            <w:tcW w:w="8784" w:type="dxa"/>
          </w:tcPr>
          <w:p w14:paraId="1B7F2AD7" w14:textId="77777777" w:rsidR="004A42F0" w:rsidRPr="0021328E" w:rsidRDefault="004A42F0" w:rsidP="001F4621">
            <w:pPr>
              <w:widowControl w:val="0"/>
              <w:tabs>
                <w:tab w:val="left" w:pos="5362"/>
              </w:tabs>
              <w:rPr>
                <w:i/>
                <w:iCs/>
                <w:color w:val="000000"/>
              </w:rPr>
            </w:pPr>
            <w:r w:rsidRPr="0021328E">
              <w:rPr>
                <w:i/>
                <w:iCs/>
                <w:color w:val="000000"/>
              </w:rPr>
              <w:t>Specifikace znečišťujících látek – seznam</w:t>
            </w:r>
          </w:p>
        </w:tc>
      </w:tr>
      <w:tr w:rsidR="004A42F0" w:rsidRPr="0021328E" w14:paraId="2C28BBD9" w14:textId="77777777" w:rsidTr="001F4621">
        <w:tc>
          <w:tcPr>
            <w:tcW w:w="8784" w:type="dxa"/>
          </w:tcPr>
          <w:p w14:paraId="784C8F77" w14:textId="77777777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</w:p>
        </w:tc>
      </w:tr>
      <w:tr w:rsidR="004A42F0" w:rsidRPr="0021328E" w14:paraId="75724143" w14:textId="77777777" w:rsidTr="001F4621">
        <w:tc>
          <w:tcPr>
            <w:tcW w:w="8784" w:type="dxa"/>
          </w:tcPr>
          <w:p w14:paraId="31BB31CD" w14:textId="77777777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</w:p>
        </w:tc>
      </w:tr>
      <w:tr w:rsidR="004A42F0" w:rsidRPr="0021328E" w14:paraId="6D63949A" w14:textId="77777777" w:rsidTr="001F4621">
        <w:tc>
          <w:tcPr>
            <w:tcW w:w="8784" w:type="dxa"/>
          </w:tcPr>
          <w:p w14:paraId="3B3EA598" w14:textId="77777777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</w:p>
        </w:tc>
      </w:tr>
      <w:tr w:rsidR="004A42F0" w:rsidRPr="00D84BD9" w14:paraId="25625DF0" w14:textId="77777777" w:rsidTr="001F4621">
        <w:tc>
          <w:tcPr>
            <w:tcW w:w="8784" w:type="dxa"/>
          </w:tcPr>
          <w:p w14:paraId="2048D6BA" w14:textId="77777777" w:rsidR="004A42F0" w:rsidRPr="0021328E" w:rsidRDefault="004A42F0" w:rsidP="001F4621">
            <w:pPr>
              <w:widowControl w:val="0"/>
              <w:rPr>
                <w:i/>
                <w:iCs/>
                <w:color w:val="000000"/>
              </w:rPr>
            </w:pPr>
            <w:r w:rsidRPr="0021328E">
              <w:rPr>
                <w:i/>
                <w:iCs/>
                <w:color w:val="000000"/>
              </w:rPr>
              <w:lastRenderedPageBreak/>
              <w:t>Seznam přijatých opatření ke snížení hluku, prachu a emisí znečišťujících látek</w:t>
            </w:r>
          </w:p>
        </w:tc>
      </w:tr>
      <w:tr w:rsidR="004A42F0" w:rsidRPr="00D84BD9" w14:paraId="111F307E" w14:textId="77777777" w:rsidTr="001F4621">
        <w:tc>
          <w:tcPr>
            <w:tcW w:w="8784" w:type="dxa"/>
          </w:tcPr>
          <w:p w14:paraId="49BA74C9" w14:textId="77777777" w:rsidR="004A42F0" w:rsidRPr="00D84BD9" w:rsidRDefault="004A42F0" w:rsidP="001F4621">
            <w:pPr>
              <w:widowControl w:val="0"/>
              <w:rPr>
                <w:i/>
                <w:iCs/>
                <w:color w:val="000000"/>
                <w:highlight w:val="yellow"/>
              </w:rPr>
            </w:pPr>
          </w:p>
        </w:tc>
      </w:tr>
      <w:tr w:rsidR="004A42F0" w:rsidRPr="00D84BD9" w14:paraId="6FC500F6" w14:textId="77777777" w:rsidTr="001F4621">
        <w:tc>
          <w:tcPr>
            <w:tcW w:w="8784" w:type="dxa"/>
          </w:tcPr>
          <w:p w14:paraId="749413B5" w14:textId="77777777" w:rsidR="004A42F0" w:rsidRPr="00D84BD9" w:rsidRDefault="004A42F0" w:rsidP="001F4621">
            <w:pPr>
              <w:widowControl w:val="0"/>
              <w:rPr>
                <w:i/>
                <w:iCs/>
                <w:color w:val="000000"/>
                <w:highlight w:val="yellow"/>
              </w:rPr>
            </w:pPr>
          </w:p>
        </w:tc>
      </w:tr>
    </w:tbl>
    <w:p w14:paraId="73C2C118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632FB28F" w14:textId="77777777" w:rsidR="00776A6A" w:rsidRDefault="00776A6A" w:rsidP="004A42F0">
      <w:pPr>
        <w:rPr>
          <w:i/>
        </w:rPr>
      </w:pPr>
    </w:p>
    <w:p w14:paraId="1176ACEF" w14:textId="51DE9610" w:rsidR="004A42F0" w:rsidRPr="0002783E" w:rsidRDefault="004A42F0" w:rsidP="004A42F0">
      <w:pPr>
        <w:rPr>
          <w:i/>
        </w:rPr>
      </w:pPr>
      <w:r w:rsidRPr="0002783E">
        <w:rPr>
          <w:i/>
        </w:rPr>
        <w:t>Seznam případných stacionárních zdrojů a přijatých opatření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4A42F0" w:rsidRPr="008A4F5A" w14:paraId="4FA3FAC4" w14:textId="77777777" w:rsidTr="001F4621">
        <w:tc>
          <w:tcPr>
            <w:tcW w:w="2972" w:type="dxa"/>
          </w:tcPr>
          <w:p w14:paraId="10D50001" w14:textId="77777777" w:rsidR="004A42F0" w:rsidRPr="00776A6A" w:rsidRDefault="004A42F0" w:rsidP="001F4621">
            <w:pPr>
              <w:widowControl w:val="0"/>
              <w:rPr>
                <w:i/>
                <w:iCs/>
              </w:rPr>
            </w:pPr>
            <w:r w:rsidRPr="00776A6A">
              <w:rPr>
                <w:i/>
                <w:iCs/>
              </w:rPr>
              <w:t xml:space="preserve">Název a popis stacionárního zdroje </w:t>
            </w:r>
          </w:p>
        </w:tc>
        <w:tc>
          <w:tcPr>
            <w:tcW w:w="6095" w:type="dxa"/>
          </w:tcPr>
          <w:p w14:paraId="566DDC29" w14:textId="77777777" w:rsidR="004A42F0" w:rsidRPr="00776A6A" w:rsidRDefault="004A42F0" w:rsidP="001F4621">
            <w:pPr>
              <w:widowControl w:val="0"/>
              <w:rPr>
                <w:i/>
                <w:iCs/>
              </w:rPr>
            </w:pPr>
            <w:r w:rsidRPr="00776A6A">
              <w:rPr>
                <w:i/>
                <w:iCs/>
              </w:rPr>
              <w:t>Přijaté opatření</w:t>
            </w:r>
          </w:p>
        </w:tc>
      </w:tr>
      <w:tr w:rsidR="004A42F0" w:rsidRPr="008A4F5A" w14:paraId="7E82BCA9" w14:textId="77777777" w:rsidTr="001F4621">
        <w:trPr>
          <w:trHeight w:val="362"/>
        </w:trPr>
        <w:tc>
          <w:tcPr>
            <w:tcW w:w="2972" w:type="dxa"/>
          </w:tcPr>
          <w:p w14:paraId="60D8244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5EF52B1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4895359B" w14:textId="77777777" w:rsidTr="001F4621">
        <w:tc>
          <w:tcPr>
            <w:tcW w:w="2972" w:type="dxa"/>
          </w:tcPr>
          <w:p w14:paraId="788C9F2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45C2431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6745A7C8" w14:textId="77777777" w:rsidTr="001F4621">
        <w:tc>
          <w:tcPr>
            <w:tcW w:w="2972" w:type="dxa"/>
          </w:tcPr>
          <w:p w14:paraId="1F364A23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00C6D77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1E04123A" w14:textId="77777777" w:rsidTr="001F4621">
        <w:tc>
          <w:tcPr>
            <w:tcW w:w="2972" w:type="dxa"/>
          </w:tcPr>
          <w:p w14:paraId="76428789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71567CF1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059FDE98" w14:textId="77777777" w:rsidTr="001F4621">
        <w:tc>
          <w:tcPr>
            <w:tcW w:w="2972" w:type="dxa"/>
          </w:tcPr>
          <w:p w14:paraId="1D3C0B79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2390D09D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4A5F7E80" w14:textId="77777777" w:rsidTr="001F4621">
        <w:tc>
          <w:tcPr>
            <w:tcW w:w="2972" w:type="dxa"/>
          </w:tcPr>
          <w:p w14:paraId="612B329A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51411F6D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4C84CF8A" w14:textId="77777777" w:rsidR="004A42F0" w:rsidRPr="0002783E" w:rsidRDefault="004A42F0" w:rsidP="004A42F0"/>
    <w:p w14:paraId="1E1AAF36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00C06870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70733E8A" w14:textId="77777777" w:rsidR="004A42F0" w:rsidRDefault="004A42F0" w:rsidP="004A42F0">
      <w:pPr>
        <w:ind w:firstLine="708"/>
        <w:rPr>
          <w:rFonts w:asciiTheme="minorHAnsi" w:hAnsiTheme="minorHAnsi" w:cstheme="minorHAnsi"/>
        </w:rPr>
      </w:pPr>
    </w:p>
    <w:p w14:paraId="10333AA2" w14:textId="77777777" w:rsidR="004A42F0" w:rsidRPr="00D84BD9" w:rsidRDefault="004A42F0" w:rsidP="004A42F0">
      <w:pPr>
        <w:pStyle w:val="Nadpis3"/>
        <w:keepNext w:val="0"/>
        <w:widowControl w:val="0"/>
        <w:numPr>
          <w:ilvl w:val="0"/>
          <w:numId w:val="32"/>
        </w:numPr>
        <w:spacing w:before="0" w:after="120"/>
        <w:jc w:val="left"/>
      </w:pPr>
      <w:bookmarkStart w:id="12" w:name="_Toc107405268"/>
      <w:r w:rsidRPr="00D84BD9">
        <w:t>Cíl ochrana a obnova biologické rozmanitosti a ekosystémů</w:t>
      </w:r>
      <w:bookmarkEnd w:id="12"/>
    </w:p>
    <w:p w14:paraId="185D19AB" w14:textId="77777777" w:rsidR="004A42F0" w:rsidRPr="00D4426D" w:rsidRDefault="004A42F0" w:rsidP="004A42F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auto"/>
          <w:sz w:val="22"/>
          <w:szCs w:val="22"/>
        </w:rPr>
      </w:pPr>
      <w:r w:rsidRPr="00D4426D">
        <w:rPr>
          <w:rFonts w:asciiTheme="minorHAnsi" w:hAnsiTheme="minorHAnsi" w:cstheme="minorHAnsi"/>
          <w:color w:val="auto"/>
          <w:sz w:val="22"/>
          <w:szCs w:val="22"/>
        </w:rPr>
        <w:t>Příjemce dotace bude postupovat v souladu s platnými předpisy v oblasti ochrany přírody a krajiny (zejména dle zákona č. 114/1992 Sb., o ochraně přírody a krajiny a zákona č. 100/2001 Sb., o posuzování vlivů na životní prostředí) a zajistí, že investiční záměr nebude ve významné míře negativně ovlivňovat předměty ochrany přírody a krajiny.</w:t>
      </w:r>
    </w:p>
    <w:p w14:paraId="46AE6D2B" w14:textId="77777777" w:rsidR="004A42F0" w:rsidRPr="00D4426D" w:rsidRDefault="004A42F0" w:rsidP="004A42F0">
      <w:pPr>
        <w:widowControl w:val="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D4426D">
        <w:rPr>
          <w:rFonts w:asciiTheme="minorHAnsi" w:hAnsiTheme="minorHAnsi" w:cstheme="minorHAnsi"/>
          <w:color w:val="auto"/>
          <w:sz w:val="22"/>
          <w:szCs w:val="22"/>
          <w:u w:val="single"/>
        </w:rPr>
        <w:t>Příjemce dotace deklaruje, že:</w:t>
      </w:r>
    </w:p>
    <w:p w14:paraId="2C9EDF5E" w14:textId="0DA66180" w:rsidR="004A42F0" w:rsidRPr="00D4426D" w:rsidRDefault="004A42F0" w:rsidP="004A42F0">
      <w:pPr>
        <w:widowControl w:val="0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D4426D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V rámci řešeného </w:t>
      </w:r>
      <w:r w:rsidR="00DA6CB4" w:rsidRPr="00D4426D">
        <w:rPr>
          <w:rFonts w:asciiTheme="minorHAnsi" w:hAnsiTheme="minorHAnsi" w:cstheme="minorHAnsi"/>
          <w:i/>
          <w:iCs/>
          <w:color w:val="auto"/>
          <w:sz w:val="22"/>
          <w:szCs w:val="22"/>
        </w:rPr>
        <w:t>projek</w:t>
      </w:r>
      <w:r w:rsidR="002A6828" w:rsidRPr="00D4426D">
        <w:rPr>
          <w:rFonts w:asciiTheme="minorHAnsi" w:hAnsiTheme="minorHAnsi" w:cstheme="minorHAnsi"/>
          <w:i/>
          <w:iCs/>
          <w:color w:val="auto"/>
          <w:sz w:val="22"/>
          <w:szCs w:val="22"/>
        </w:rPr>
        <w:t>t</w:t>
      </w:r>
      <w:r w:rsidR="00DA6CB4" w:rsidRPr="00D4426D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u </w:t>
      </w:r>
      <w:r w:rsidRPr="00D4426D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jsme provedli příslušná posouzení území z pohledu zákona č. 114/1992 Sb., o ochraně přírody a krajiny a zákona č. 100/2001 Sb., o posuzování vlivů na životní prostředí případně jiných předpisů z oblasti životního prostředí a zajistili jsme, že investiční záměr nebude ve významné míře negativně ovlivňovat předměty ochrany přírody a krajiny. Toto dokládám seznamem provedených ochranných, zmírňujících a kompenzačních opatření, v případě že tato opatření byla dle zákonných požadavků doporučena. </w:t>
      </w:r>
    </w:p>
    <w:p w14:paraId="65EBDD55" w14:textId="77777777" w:rsidR="004A42F0" w:rsidRPr="00D4426D" w:rsidRDefault="004A42F0" w:rsidP="004A42F0">
      <w:pPr>
        <w:widowControl w:val="0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D4426D">
        <w:rPr>
          <w:rFonts w:asciiTheme="minorHAnsi" w:hAnsiTheme="minorHAnsi" w:cstheme="minorHAnsi"/>
          <w:i/>
          <w:iCs/>
          <w:color w:val="auto"/>
          <w:sz w:val="22"/>
          <w:szCs w:val="22"/>
        </w:rPr>
        <w:t>Realizované ochranné, zmírňující a kompenzační opatření – seznam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4A42F0" w:rsidRPr="008A4F5A" w14:paraId="12FF17F2" w14:textId="77777777" w:rsidTr="001F4621">
        <w:tc>
          <w:tcPr>
            <w:tcW w:w="2972" w:type="dxa"/>
          </w:tcPr>
          <w:p w14:paraId="2496EAF6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Název dotčené oblasti</w:t>
            </w:r>
          </w:p>
        </w:tc>
        <w:tc>
          <w:tcPr>
            <w:tcW w:w="6095" w:type="dxa"/>
          </w:tcPr>
          <w:p w14:paraId="4CC0941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Přijaté opatření</w:t>
            </w:r>
          </w:p>
        </w:tc>
      </w:tr>
      <w:tr w:rsidR="004A42F0" w:rsidRPr="008A4F5A" w14:paraId="3C4F6651" w14:textId="77777777" w:rsidTr="001F4621">
        <w:trPr>
          <w:trHeight w:val="362"/>
        </w:trPr>
        <w:tc>
          <w:tcPr>
            <w:tcW w:w="2972" w:type="dxa"/>
          </w:tcPr>
          <w:p w14:paraId="5F46589B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28C22D45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13175CD2" w14:textId="77777777" w:rsidTr="001F4621">
        <w:tc>
          <w:tcPr>
            <w:tcW w:w="2972" w:type="dxa"/>
          </w:tcPr>
          <w:p w14:paraId="4D14F862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3889A1F7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55AB7689" w14:textId="77777777" w:rsidTr="001F4621">
        <w:tc>
          <w:tcPr>
            <w:tcW w:w="2972" w:type="dxa"/>
          </w:tcPr>
          <w:p w14:paraId="0250A0D6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6A36DC39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136B0193" w14:textId="77777777" w:rsidTr="001F4621">
        <w:tc>
          <w:tcPr>
            <w:tcW w:w="2972" w:type="dxa"/>
          </w:tcPr>
          <w:p w14:paraId="2DEF51F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512855A8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38767081" w14:textId="77777777" w:rsidTr="001F4621">
        <w:tc>
          <w:tcPr>
            <w:tcW w:w="2972" w:type="dxa"/>
          </w:tcPr>
          <w:p w14:paraId="0B281B54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1CAD1E77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  <w:tr w:rsidR="004A42F0" w:rsidRPr="008A4F5A" w14:paraId="01515201" w14:textId="77777777" w:rsidTr="001F4621">
        <w:tc>
          <w:tcPr>
            <w:tcW w:w="2972" w:type="dxa"/>
          </w:tcPr>
          <w:p w14:paraId="32C6E453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  <w:tc>
          <w:tcPr>
            <w:tcW w:w="6095" w:type="dxa"/>
          </w:tcPr>
          <w:p w14:paraId="1332075E" w14:textId="77777777" w:rsidR="004A42F0" w:rsidRPr="008A4F5A" w:rsidRDefault="004A42F0" w:rsidP="001F4621">
            <w:pPr>
              <w:widowControl w:val="0"/>
              <w:rPr>
                <w:i/>
                <w:iCs/>
              </w:rPr>
            </w:pPr>
          </w:p>
        </w:tc>
      </w:tr>
    </w:tbl>
    <w:p w14:paraId="556EAC45" w14:textId="0A88B449" w:rsidR="009121EC" w:rsidRDefault="009121EC" w:rsidP="002E3342">
      <w:pPr>
        <w:rPr>
          <w:sz w:val="24"/>
          <w:szCs w:val="24"/>
        </w:rPr>
      </w:pPr>
    </w:p>
    <w:p w14:paraId="0323D4DC" w14:textId="11CBC9A9" w:rsidR="009121EC" w:rsidRDefault="009121EC" w:rsidP="00002D4D">
      <w:pPr>
        <w:pStyle w:val="Nadpis1"/>
        <w:numPr>
          <w:ilvl w:val="0"/>
          <w:numId w:val="30"/>
        </w:numPr>
        <w:jc w:val="left"/>
        <w:rPr>
          <w:sz w:val="24"/>
          <w:szCs w:val="24"/>
        </w:rPr>
      </w:pPr>
      <w:bookmarkStart w:id="13" w:name="_Toc107405269"/>
      <w:r>
        <w:rPr>
          <w:sz w:val="24"/>
          <w:szCs w:val="24"/>
        </w:rPr>
        <w:t>Prohlášení žadatele:</w:t>
      </w:r>
      <w:bookmarkEnd w:id="13"/>
    </w:p>
    <w:p w14:paraId="7375372B" w14:textId="77777777" w:rsidR="00DA6CB4" w:rsidRPr="00DA6CB4" w:rsidRDefault="00DA6CB4" w:rsidP="00DA6CB4">
      <w:pPr>
        <w:pStyle w:val="Odstavecseseznamem"/>
        <w:spacing w:line="240" w:lineRule="auto"/>
        <w:ind w:left="1080"/>
        <w:rPr>
          <w:rFonts w:asciiTheme="minorHAnsi" w:hAnsiTheme="minorHAnsi" w:cstheme="minorHAnsi"/>
          <w:color w:val="auto"/>
        </w:rPr>
      </w:pPr>
    </w:p>
    <w:p w14:paraId="72D24FF9" w14:textId="77777777" w:rsidR="00DA6CB4" w:rsidRPr="00D173C9" w:rsidRDefault="00DA6CB4" w:rsidP="00D173C9">
      <w:pPr>
        <w:ind w:firstLine="7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173C9">
        <w:rPr>
          <w:rFonts w:asciiTheme="minorHAnsi" w:hAnsiTheme="minorHAnsi" w:cstheme="minorHAnsi"/>
          <w:color w:val="000000" w:themeColor="text1"/>
          <w:sz w:val="22"/>
          <w:szCs w:val="22"/>
        </w:rPr>
        <w:t>Plnění DNSH se prokazuje vyplněním a podpisem tohoto Kontrolního protokolu, který je přílohou žádosti a následně vyplněním přílohy č. 19 Obecných pravidle.</w:t>
      </w:r>
    </w:p>
    <w:p w14:paraId="5204099F" w14:textId="77777777" w:rsidR="00DA6CB4" w:rsidRPr="00DA6CB4" w:rsidRDefault="00DA6CB4" w:rsidP="00DA6CB4"/>
    <w:p w14:paraId="2666F55C" w14:textId="02A9F6B8" w:rsidR="002E3342" w:rsidRPr="00832986" w:rsidRDefault="00166AE0" w:rsidP="00DA6CB4">
      <w:pPr>
        <w:ind w:firstLine="708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Potvrzuji</w:t>
      </w:r>
      <w:r w:rsidR="002E3342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, že jsem technická kritéria DNSH zanesl do příslušné smluvní dokumentace mezi subdodavatelem/ dodavatelem a / nebo konečných příjemcem.</w:t>
      </w:r>
    </w:p>
    <w:p w14:paraId="6B1D12EC" w14:textId="79068902" w:rsidR="003F7B94" w:rsidRPr="00832986" w:rsidRDefault="00DA1F5D" w:rsidP="00DA6CB4">
      <w:pPr>
        <w:spacing w:line="259" w:lineRule="auto"/>
        <w:ind w:firstLine="7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Potvrzuji, </w:t>
      </w:r>
      <w:r w:rsidR="00451C17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že všechny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činnosti v projektu jsou a budou v souladu s technickými pokyny k uplatňování zásady „významně nepoškozovat“ (2021/C58/01), a splňují kritéria způsobilosti uvedená v zadávacích podmínkách výzvy k předkládání projektů.  Všechny činnosti jsou v souladu s příslušnými právními předpisy EU a vnitrostátními právními předpisy v oblasti životního prostředí, konkrétně s rámcovou směrnicí o vodě, směrnicí o povodních, směrnicí o stanovištích a směrnicí o ochraně ptáků,</w:t>
      </w:r>
      <w:r w:rsidR="00832986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směrnicemi o posuzování vlivů na životní prostředí a strategickém posuzování vlivů na životní prostředí.“</w:t>
      </w:r>
    </w:p>
    <w:p w14:paraId="189F60C4" w14:textId="3092BA62" w:rsidR="001F5726" w:rsidRDefault="001F5726" w:rsidP="00DA6CB4">
      <w:pPr>
        <w:ind w:firstLine="70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Čestně prohlašuji, že </w:t>
      </w:r>
      <w:r w:rsidR="00CA1C0A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výše uvedené údaje v tomto Kontrolním protokolu k DNSH jsou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pravdivé a úplné a jsem si vědom právních následků a sankcí, které vyplývají z uvedení nepravdivých nebo neúplných údajů, a případného trestního stíhání</w:t>
      </w:r>
      <w:r w:rsidR="00665E8A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či odebrání dotace.</w:t>
      </w:r>
    </w:p>
    <w:p w14:paraId="3F7BD846" w14:textId="77777777" w:rsidR="00166AE0" w:rsidRPr="00F029FF" w:rsidRDefault="00166AE0" w:rsidP="00166AE0">
      <w:pPr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Potvrzuji, že systém vztahující se k výše specifikovanému / specifikovaným opatření Národního plánu obnovy je funkční a splňuje zásadu významně nepoškozovat v rámci Nástroje pro oživení a odolnost ve smyslu čl. 17 Nařízení Evropského parlamentu a Rady (EU) č. 2020/852 ze dne 18. června 2020 o zřízení rámce pro usnadnění udržitelných investic a o změně nařízení (EU) 2019/2088 (tzv. „Nařízení o Taxonomii“).</w:t>
      </w:r>
    </w:p>
    <w:p w14:paraId="0D24CA54" w14:textId="77777777" w:rsidR="00166AE0" w:rsidRPr="00F029FF" w:rsidRDefault="00166AE0" w:rsidP="00166AE0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12058291" w14:textId="3D516356" w:rsidR="00166AE0" w:rsidRPr="00F029FF" w:rsidRDefault="00DA6CB4" w:rsidP="00F029FF">
      <w:pPr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Tento protokol</w:t>
      </w:r>
      <w:r w:rsidR="00166AE0" w:rsidRPr="00F029FF">
        <w:rPr>
          <w:rFonts w:asciiTheme="minorHAnsi" w:hAnsiTheme="minorHAnsi" w:cstheme="minorHAnsi"/>
          <w:color w:val="auto"/>
          <w:sz w:val="22"/>
          <w:szCs w:val="22"/>
        </w:rPr>
        <w:t xml:space="preserve"> detailně popisuje a odůvodňuje, zda a jakým způsobem implementace opatření významně nepoškozuje / nepoškozují environmentální cíle dle čl. 17 a dle Prováděcího rozhodnutí Rady o schválení posouzení plánu pro oživení a odolnost Česka.</w:t>
      </w:r>
    </w:p>
    <w:p w14:paraId="786EC2AC" w14:textId="77777777" w:rsidR="00166AE0" w:rsidRPr="004B7A0E" w:rsidRDefault="00166AE0" w:rsidP="00166AE0">
      <w:pPr>
        <w:rPr>
          <w:rFonts w:asciiTheme="minorHAnsi" w:hAnsiTheme="minorHAnsi" w:cstheme="minorHAnsi"/>
        </w:rPr>
      </w:pPr>
    </w:p>
    <w:p w14:paraId="0804FD79" w14:textId="765CC0F7" w:rsidR="009F79B9" w:rsidRPr="00F029FF" w:rsidRDefault="00166AE0" w:rsidP="00CA1C0A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V Praze, dne ……………….</w:t>
      </w:r>
    </w:p>
    <w:p w14:paraId="4E6C5FC7" w14:textId="77777777" w:rsidR="00832986" w:rsidRDefault="00832986" w:rsidP="001F572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5500975" w14:textId="6B8A5D1E" w:rsidR="001F5726" w:rsidRPr="00F029FF" w:rsidRDefault="00BC187B" w:rsidP="001F5726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Datum…</w:t>
      </w:r>
      <w:r w:rsidR="00BD411A" w:rsidRPr="00F029FF">
        <w:rPr>
          <w:rFonts w:asciiTheme="minorHAnsi" w:hAnsiTheme="minorHAnsi" w:cstheme="minorHAnsi"/>
          <w:color w:val="auto"/>
          <w:sz w:val="22"/>
          <w:szCs w:val="22"/>
        </w:rPr>
        <w:t>……………</w:t>
      </w:r>
      <w:r w:rsidRPr="00F029FF">
        <w:rPr>
          <w:rFonts w:asciiTheme="minorHAnsi" w:hAnsiTheme="minorHAnsi" w:cstheme="minorHAnsi"/>
          <w:color w:val="auto"/>
          <w:sz w:val="22"/>
          <w:szCs w:val="22"/>
        </w:rPr>
        <w:t>……</w:t>
      </w:r>
      <w:r w:rsidR="00BD411A" w:rsidRPr="00F029F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A87A791" w14:textId="630749FA" w:rsidR="001F5726" w:rsidRPr="00DA6CB4" w:rsidRDefault="001F5726" w:rsidP="001F572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ADE492" w14:textId="7EFA0893" w:rsidR="009121EC" w:rsidRPr="00DA6CB4" w:rsidRDefault="009121EC" w:rsidP="001F572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Podpis zpracovatele projektové </w:t>
      </w:r>
      <w:r w:rsidR="00BC187B"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dokumentace…</w:t>
      </w:r>
      <w:r w:rsidR="00BD411A"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</w:t>
      </w:r>
      <w:r w:rsidR="00BC187B"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BD411A" w:rsidRPr="00DA6CB4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C64AE0B" w14:textId="5D75AEF1" w:rsidR="009121EC" w:rsidRDefault="009121EC" w:rsidP="001F5726">
      <w:pPr>
        <w:rPr>
          <w:rFonts w:asciiTheme="minorHAnsi" w:hAnsiTheme="minorHAnsi" w:cstheme="minorHAnsi"/>
          <w:color w:val="000000" w:themeColor="text1"/>
          <w:sz w:val="22"/>
          <w:szCs w:val="22"/>
          <w:highlight w:val="green"/>
        </w:rPr>
      </w:pPr>
    </w:p>
    <w:p w14:paraId="06C53051" w14:textId="77777777" w:rsidR="009121EC" w:rsidRPr="00832986" w:rsidRDefault="009121EC" w:rsidP="001F5726">
      <w:pPr>
        <w:rPr>
          <w:rFonts w:asciiTheme="minorHAnsi" w:hAnsiTheme="minorHAnsi" w:cstheme="minorHAnsi"/>
          <w:color w:val="000000" w:themeColor="text1"/>
          <w:sz w:val="22"/>
          <w:szCs w:val="22"/>
          <w:highlight w:val="green"/>
        </w:rPr>
      </w:pPr>
    </w:p>
    <w:p w14:paraId="4F43927C" w14:textId="69821D43" w:rsidR="00A32F48" w:rsidRPr="00F029FF" w:rsidRDefault="001F5726" w:rsidP="005A4A55">
      <w:pPr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F029FF">
        <w:rPr>
          <w:rFonts w:asciiTheme="minorHAnsi" w:hAnsiTheme="minorHAnsi" w:cstheme="minorHAnsi"/>
          <w:color w:val="auto"/>
          <w:sz w:val="22"/>
          <w:szCs w:val="22"/>
        </w:rPr>
        <w:t>Podpis</w:t>
      </w:r>
      <w:r w:rsidR="009121EC" w:rsidRPr="00F029FF">
        <w:rPr>
          <w:rFonts w:asciiTheme="minorHAnsi" w:hAnsiTheme="minorHAnsi" w:cstheme="minorHAnsi"/>
          <w:color w:val="auto"/>
          <w:sz w:val="22"/>
          <w:szCs w:val="22"/>
        </w:rPr>
        <w:t xml:space="preserve"> žadatele</w:t>
      </w:r>
      <w:r w:rsidRPr="00F029FF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BD411A" w:rsidRPr="00F029FF">
        <w:rPr>
          <w:rFonts w:asciiTheme="minorHAnsi" w:hAnsiTheme="minorHAnsi" w:cstheme="minorHAnsi"/>
          <w:color w:val="auto"/>
          <w:sz w:val="22"/>
          <w:szCs w:val="22"/>
        </w:rPr>
        <w:t>…………………………</w:t>
      </w:r>
      <w:r w:rsidR="00BC187B" w:rsidRPr="00F029FF">
        <w:rPr>
          <w:rFonts w:asciiTheme="minorHAnsi" w:hAnsiTheme="minorHAnsi" w:cstheme="minorHAnsi"/>
          <w:color w:val="auto"/>
          <w:sz w:val="22"/>
          <w:szCs w:val="22"/>
        </w:rPr>
        <w:t>……</w:t>
      </w:r>
      <w:r w:rsidR="00BD411A" w:rsidRPr="00F029F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sectPr w:rsidR="00A32F48" w:rsidRPr="00F029FF" w:rsidSect="00451C1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648A4" w14:textId="77777777" w:rsidR="00D7428C" w:rsidRDefault="00D7428C" w:rsidP="00DA2B39">
      <w:r>
        <w:separator/>
      </w:r>
    </w:p>
  </w:endnote>
  <w:endnote w:type="continuationSeparator" w:id="0">
    <w:p w14:paraId="056CC4B6" w14:textId="77777777" w:rsidR="00D7428C" w:rsidRDefault="00D7428C" w:rsidP="00DA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61582" w14:textId="436EA793" w:rsidR="00E91A15" w:rsidRPr="00223CFF" w:rsidRDefault="009343B7" w:rsidP="00DA2B39">
    <w:pPr>
      <w:pStyle w:val="Zpat"/>
      <w:rPr>
        <w:rFonts w:asciiTheme="minorHAnsi" w:hAnsiTheme="minorHAnsi" w:cstheme="minorHAnsi"/>
      </w:rPr>
    </w:pPr>
    <w:r w:rsidRPr="00223CFF">
      <w:rPr>
        <w:rFonts w:asciiTheme="minorHAnsi" w:hAnsiTheme="minorHAnsi" w:cstheme="minorHAnsi"/>
      </w:rPr>
      <w:t xml:space="preserve">Číslo vydání: </w:t>
    </w:r>
    <w:r w:rsidR="00223CFF" w:rsidRPr="00223CFF">
      <w:rPr>
        <w:rFonts w:asciiTheme="minorHAnsi" w:hAnsiTheme="minorHAnsi" w:cstheme="minorHAnsi"/>
      </w:rPr>
      <w:t>1. 1</w:t>
    </w:r>
    <w:r w:rsidRPr="00223CFF">
      <w:rPr>
        <w:rFonts w:asciiTheme="minorHAnsi" w:hAnsiTheme="minorHAnsi" w:cstheme="minorHAnsi"/>
      </w:rPr>
      <w:ptab w:relativeTo="margin" w:alignment="center" w:leader="none"/>
    </w:r>
    <w:r w:rsidRPr="00223CFF">
      <w:rPr>
        <w:rFonts w:asciiTheme="minorHAnsi" w:hAnsiTheme="minorHAnsi" w:cstheme="minorHAnsi"/>
      </w:rPr>
      <w:t>Platnost od 1.</w:t>
    </w:r>
    <w:r w:rsidR="00223CFF" w:rsidRPr="00223CFF">
      <w:rPr>
        <w:rFonts w:asciiTheme="minorHAnsi" w:hAnsiTheme="minorHAnsi" w:cstheme="minorHAnsi"/>
      </w:rPr>
      <w:t xml:space="preserve"> </w:t>
    </w:r>
    <w:r w:rsidRPr="00223CFF">
      <w:rPr>
        <w:rFonts w:asciiTheme="minorHAnsi" w:hAnsiTheme="minorHAnsi" w:cstheme="minorHAnsi"/>
      </w:rPr>
      <w:t>7.</w:t>
    </w:r>
    <w:r w:rsidR="00223CFF" w:rsidRPr="00223CFF">
      <w:rPr>
        <w:rFonts w:asciiTheme="minorHAnsi" w:hAnsiTheme="minorHAnsi" w:cstheme="minorHAnsi"/>
      </w:rPr>
      <w:t xml:space="preserve"> </w:t>
    </w:r>
    <w:r w:rsidRPr="00223CFF">
      <w:rPr>
        <w:rFonts w:asciiTheme="minorHAnsi" w:hAnsiTheme="minorHAnsi" w:cstheme="minorHAnsi"/>
      </w:rPr>
      <w:t>2022</w:t>
    </w:r>
    <w:r w:rsidRPr="00223CFF">
      <w:rPr>
        <w:rFonts w:asciiTheme="minorHAnsi" w:hAnsiTheme="minorHAnsi" w:cstheme="minorHAnsi"/>
      </w:rPr>
      <w:ptab w:relativeTo="margin" w:alignment="right" w:leader="none"/>
    </w:r>
    <w:r w:rsidRPr="00223CFF">
      <w:rPr>
        <w:rFonts w:asciiTheme="minorHAnsi" w:hAnsiTheme="minorHAnsi" w:cstheme="minorHAnsi"/>
      </w:rPr>
      <w:t xml:space="preserve">Počet stran: </w:t>
    </w:r>
    <w:r w:rsidR="00F029FF" w:rsidRPr="00223CFF">
      <w:rPr>
        <w:rFonts w:asciiTheme="minorHAnsi" w:hAnsiTheme="minorHAnsi" w:cstheme="minorHAnsi"/>
      </w:rPr>
      <w:t>1</w:t>
    </w:r>
    <w:r w:rsidR="00046D60" w:rsidRPr="00223CFF">
      <w:rPr>
        <w:rFonts w:asciiTheme="minorHAnsi" w:hAnsiTheme="minorHAnsi" w:cstheme="minorHAnsi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6B4B" w14:textId="6BD74E69" w:rsidR="009343B7" w:rsidRPr="00223CFF" w:rsidRDefault="009343B7">
    <w:pPr>
      <w:pStyle w:val="Zpat"/>
      <w:rPr>
        <w:rFonts w:asciiTheme="minorHAnsi" w:hAnsiTheme="minorHAnsi" w:cstheme="minorHAnsi"/>
      </w:rPr>
    </w:pPr>
    <w:r w:rsidRPr="00223CFF">
      <w:rPr>
        <w:rFonts w:asciiTheme="minorHAnsi" w:hAnsiTheme="minorHAnsi" w:cstheme="minorHAnsi"/>
      </w:rPr>
      <w:t xml:space="preserve">Číslo vydání: </w:t>
    </w:r>
    <w:r w:rsidR="00223CFF" w:rsidRPr="00223CFF">
      <w:rPr>
        <w:rFonts w:asciiTheme="minorHAnsi" w:hAnsiTheme="minorHAnsi" w:cstheme="minorHAnsi"/>
      </w:rPr>
      <w:t>1.1</w:t>
    </w:r>
    <w:r w:rsidRPr="00223CFF">
      <w:rPr>
        <w:rFonts w:asciiTheme="minorHAnsi" w:hAnsiTheme="minorHAnsi" w:cstheme="minorHAnsi"/>
      </w:rPr>
      <w:ptab w:relativeTo="margin" w:alignment="center" w:leader="none"/>
    </w:r>
    <w:r w:rsidRPr="00223CFF">
      <w:rPr>
        <w:rFonts w:asciiTheme="minorHAnsi" w:hAnsiTheme="minorHAnsi" w:cstheme="minorHAnsi"/>
      </w:rPr>
      <w:t>Platnost od 1.</w:t>
    </w:r>
    <w:r w:rsidR="00223CFF" w:rsidRPr="00223CFF">
      <w:rPr>
        <w:rFonts w:asciiTheme="minorHAnsi" w:hAnsiTheme="minorHAnsi" w:cstheme="minorHAnsi"/>
      </w:rPr>
      <w:t xml:space="preserve"> </w:t>
    </w:r>
    <w:r w:rsidRPr="00223CFF">
      <w:rPr>
        <w:rFonts w:asciiTheme="minorHAnsi" w:hAnsiTheme="minorHAnsi" w:cstheme="minorHAnsi"/>
      </w:rPr>
      <w:t>7.</w:t>
    </w:r>
    <w:r w:rsidR="00223CFF" w:rsidRPr="00223CFF">
      <w:rPr>
        <w:rFonts w:asciiTheme="minorHAnsi" w:hAnsiTheme="minorHAnsi" w:cstheme="minorHAnsi"/>
      </w:rPr>
      <w:t xml:space="preserve"> </w:t>
    </w:r>
    <w:r w:rsidRPr="00223CFF">
      <w:rPr>
        <w:rFonts w:asciiTheme="minorHAnsi" w:hAnsiTheme="minorHAnsi" w:cstheme="minorHAnsi"/>
      </w:rPr>
      <w:t>2022</w:t>
    </w:r>
    <w:r w:rsidRPr="00223CFF">
      <w:rPr>
        <w:rFonts w:asciiTheme="minorHAnsi" w:hAnsiTheme="minorHAnsi" w:cstheme="minorHAnsi"/>
      </w:rPr>
      <w:ptab w:relativeTo="margin" w:alignment="right" w:leader="none"/>
    </w:r>
    <w:r w:rsidRPr="00223CFF">
      <w:rPr>
        <w:rFonts w:asciiTheme="minorHAnsi" w:hAnsiTheme="minorHAnsi" w:cstheme="minorHAnsi"/>
      </w:rPr>
      <w:t xml:space="preserve">Počet stran: </w:t>
    </w:r>
    <w:r w:rsidR="00A7721D" w:rsidRPr="00223CFF">
      <w:rPr>
        <w:rFonts w:asciiTheme="minorHAnsi" w:hAnsiTheme="minorHAnsi" w:cstheme="minorHAnsi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86FDC" w14:textId="77777777" w:rsidR="00D7428C" w:rsidRDefault="00D7428C" w:rsidP="00DA2B39">
      <w:r>
        <w:separator/>
      </w:r>
    </w:p>
  </w:footnote>
  <w:footnote w:type="continuationSeparator" w:id="0">
    <w:p w14:paraId="017848EF" w14:textId="77777777" w:rsidR="00D7428C" w:rsidRDefault="00D7428C" w:rsidP="00DA2B39">
      <w:r>
        <w:continuationSeparator/>
      </w:r>
    </w:p>
  </w:footnote>
  <w:footnote w:id="1">
    <w:p w14:paraId="7BF7F225" w14:textId="0B4A1C85" w:rsidR="00BD411A" w:rsidRPr="00651EBC" w:rsidRDefault="00BD411A">
      <w:pPr>
        <w:pStyle w:val="Textpoznpodarou"/>
        <w:rPr>
          <w:sz w:val="18"/>
          <w:szCs w:val="18"/>
        </w:rPr>
      </w:pPr>
      <w:r w:rsidRPr="00651EBC">
        <w:rPr>
          <w:rStyle w:val="Znakapoznpodarou"/>
          <w:sz w:val="18"/>
          <w:szCs w:val="18"/>
        </w:rPr>
        <w:footnoteRef/>
      </w:r>
      <w:r w:rsidRPr="00651EBC">
        <w:rPr>
          <w:sz w:val="18"/>
          <w:szCs w:val="18"/>
        </w:rPr>
        <w:t xml:space="preserve"> </w:t>
      </w:r>
      <w:r w:rsidRPr="00651EBC">
        <w:rPr>
          <w:rFonts w:asciiTheme="minorHAnsi" w:hAnsiTheme="minorHAnsi" w:cstheme="minorHAnsi"/>
          <w:sz w:val="18"/>
          <w:szCs w:val="18"/>
        </w:rPr>
        <w:t xml:space="preserve">Do No </w:t>
      </w:r>
      <w:proofErr w:type="spellStart"/>
      <w:r w:rsidRPr="00651EBC">
        <w:rPr>
          <w:rFonts w:asciiTheme="minorHAnsi" w:hAnsiTheme="minorHAnsi" w:cstheme="minorHAnsi"/>
          <w:sz w:val="18"/>
          <w:szCs w:val="18"/>
        </w:rPr>
        <w:t>Significant</w:t>
      </w:r>
      <w:proofErr w:type="spellEnd"/>
      <w:r w:rsidRPr="00651EBC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proofErr w:type="gramStart"/>
      <w:r w:rsidR="00A7721D" w:rsidRPr="00651EBC">
        <w:rPr>
          <w:rFonts w:asciiTheme="minorHAnsi" w:hAnsiTheme="minorHAnsi" w:cstheme="minorHAnsi"/>
          <w:sz w:val="18"/>
          <w:szCs w:val="18"/>
        </w:rPr>
        <w:t>Harm</w:t>
      </w:r>
      <w:proofErr w:type="spellEnd"/>
      <w:r w:rsidR="00A7721D" w:rsidRPr="00651EBC">
        <w:rPr>
          <w:rFonts w:asciiTheme="minorHAnsi" w:hAnsiTheme="minorHAnsi" w:cstheme="minorHAnsi"/>
          <w:sz w:val="18"/>
          <w:szCs w:val="18"/>
        </w:rPr>
        <w:t xml:space="preserve"> -</w:t>
      </w:r>
      <w:r w:rsidRPr="00651EBC">
        <w:rPr>
          <w:rFonts w:asciiTheme="minorHAnsi" w:hAnsiTheme="minorHAnsi" w:cstheme="minorHAnsi"/>
          <w:sz w:val="18"/>
          <w:szCs w:val="18"/>
        </w:rPr>
        <w:t xml:space="preserve"> Významně</w:t>
      </w:r>
      <w:proofErr w:type="gramEnd"/>
      <w:r w:rsidRPr="00651EBC">
        <w:rPr>
          <w:rFonts w:asciiTheme="minorHAnsi" w:hAnsiTheme="minorHAnsi" w:cstheme="minorHAnsi"/>
          <w:sz w:val="18"/>
          <w:szCs w:val="18"/>
        </w:rPr>
        <w:t xml:space="preserve"> nepoškozovat</w:t>
      </w:r>
    </w:p>
  </w:footnote>
  <w:footnote w:id="2">
    <w:p w14:paraId="2058050B" w14:textId="43A02ED0" w:rsidR="004A42F0" w:rsidRPr="00776A6A" w:rsidRDefault="004A42F0" w:rsidP="00776A6A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76A6A">
        <w:rPr>
          <w:rStyle w:val="Znakapoznpodarou"/>
        </w:rPr>
        <w:footnoteRef/>
      </w:r>
      <w:r w:rsidRPr="00776A6A">
        <w:t xml:space="preserve"> </w:t>
      </w:r>
      <w:r w:rsidR="00F029FF" w:rsidRPr="00776A6A">
        <w:rPr>
          <w:rFonts w:asciiTheme="minorHAnsi" w:hAnsiTheme="minorHAnsi" w:cstheme="minorHAnsi"/>
          <w:sz w:val="18"/>
          <w:szCs w:val="18"/>
        </w:rPr>
        <w:t>Vysvětlivky: Přírodní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 xml:space="preserve"> zdroje zahrnují energii, materiály, kovy, vodu, biomasu, vzduch a půdu.</w:t>
      </w:r>
    </w:p>
  </w:footnote>
  <w:footnote w:id="3">
    <w:p w14:paraId="4E93816C" w14:textId="326B5D99" w:rsidR="00DC6537" w:rsidRPr="00776A6A" w:rsidRDefault="00DC6537" w:rsidP="00776A6A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76A6A">
        <w:rPr>
          <w:rStyle w:val="Znakapoznpodarou"/>
          <w:sz w:val="18"/>
          <w:szCs w:val="18"/>
        </w:rPr>
        <w:footnoteRef/>
      </w:r>
      <w:r w:rsidRPr="00776A6A">
        <w:rPr>
          <w:sz w:val="18"/>
          <w:szCs w:val="18"/>
        </w:rPr>
        <w:t xml:space="preserve">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 xml:space="preserve">Nehospodárnost lze například minimalizovat výrazným zvýšením trvanlivosti, opravitelnosti, </w:t>
      </w:r>
      <w:proofErr w:type="spellStart"/>
      <w:r w:rsidRPr="00776A6A">
        <w:rPr>
          <w:rFonts w:asciiTheme="minorHAnsi" w:hAnsiTheme="minorHAnsi" w:cstheme="minorHAnsi"/>
          <w:i/>
          <w:iCs/>
          <w:sz w:val="18"/>
          <w:szCs w:val="18"/>
        </w:rPr>
        <w:t>modernizovatelnosti</w:t>
      </w:r>
      <w:proofErr w:type="spellEnd"/>
      <w:r w:rsidRPr="00776A6A">
        <w:rPr>
          <w:rFonts w:asciiTheme="minorHAnsi" w:hAnsiTheme="minorHAnsi" w:cstheme="minorHAnsi"/>
          <w:i/>
          <w:iCs/>
          <w:sz w:val="18"/>
          <w:szCs w:val="18"/>
        </w:rPr>
        <w:t xml:space="preserve"> a opětovné použitelnosti výrobků nebo výrazným snížením zdrojů prostřednictvím konstrukčního řešení a výběru materiálů, usnadněním opětovného použití, demontáží a rozebráním, zejména s cílem omezit používání nových stavebních materiálů a podpořit opětovné použití stavebních materiálů. Přechod na podnikatelský model typu „produkt jako služba“ a oběhové hodnotové řetězce s cílem zajistit, aby si výrobky, součástky a materiály zachovaly po co nejdelší dobu nejvyšší možnou využitelnost a hodnotu. Součástí je i významné snižování obsahu nebezpečných látek v materiálech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br/>
        <w:t>a výrobcích během celého životního cyklu, a to i jejich nahrazováním bezpečnějšími alternativami. Dále pak také výrazné omezování potravinového odpadu při produkci, zpracovávání, výrobě či distribuci potravin.</w:t>
      </w:r>
    </w:p>
  </w:footnote>
  <w:footnote w:id="4">
    <w:p w14:paraId="61D0E781" w14:textId="7372AB8F" w:rsidR="00DC6537" w:rsidRPr="00776A6A" w:rsidRDefault="00DC6537" w:rsidP="00776A6A">
      <w:pPr>
        <w:spacing w:line="240" w:lineRule="auto"/>
        <w:rPr>
          <w:sz w:val="18"/>
          <w:szCs w:val="18"/>
        </w:rPr>
      </w:pPr>
      <w:r w:rsidRPr="00776A6A">
        <w:rPr>
          <w:rStyle w:val="Znakapoznpodarou"/>
          <w:sz w:val="18"/>
          <w:szCs w:val="18"/>
        </w:rPr>
        <w:footnoteRef/>
      </w:r>
      <w:r w:rsidRPr="00776A6A">
        <w:rPr>
          <w:sz w:val="18"/>
          <w:szCs w:val="18"/>
        </w:rPr>
        <w:t xml:space="preserve">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>Více informací o cíli oběhového hospodářství naleznete v 27. bodě odůvodnění nařízení o taxonomii.</w:t>
      </w:r>
    </w:p>
  </w:footnote>
  <w:footnote w:id="5">
    <w:p w14:paraId="0606FCBF" w14:textId="13E77C80" w:rsidR="00DC6537" w:rsidRPr="00776A6A" w:rsidRDefault="00DC6537" w:rsidP="00776A6A">
      <w:pPr>
        <w:spacing w:line="24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76A6A">
        <w:rPr>
          <w:rStyle w:val="Znakapoznpodarou"/>
          <w:sz w:val="18"/>
          <w:szCs w:val="18"/>
        </w:rPr>
        <w:footnoteRef/>
      </w:r>
      <w:r w:rsidRPr="00776A6A">
        <w:rPr>
          <w:sz w:val="18"/>
          <w:szCs w:val="18"/>
        </w:rPr>
        <w:t xml:space="preserve">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>Znečišťujícími látkami se rozumí látky, vibrace, teplo, hluk, světlo nebo jiné kontaminující látky přítomné v ovzduší, ve vodě nebo v krajině, které mohou být škodlivé pro lidské zdraví nebo pro životní prostředí.</w:t>
      </w:r>
    </w:p>
  </w:footnote>
  <w:footnote w:id="6">
    <w:p w14:paraId="66A12D41" w14:textId="2873BAB9" w:rsidR="00DC6537" w:rsidRPr="00776A6A" w:rsidRDefault="00DC6537" w:rsidP="00776A6A">
      <w:pPr>
        <w:rPr>
          <w:rFonts w:asciiTheme="minorHAnsi" w:hAnsiTheme="minorHAnsi" w:cstheme="minorHAnsi"/>
          <w:i/>
          <w:iCs/>
          <w:sz w:val="18"/>
          <w:szCs w:val="18"/>
        </w:rPr>
      </w:pPr>
      <w:r w:rsidRPr="00776A6A">
        <w:rPr>
          <w:rStyle w:val="Znakapoznpodarou"/>
          <w:sz w:val="18"/>
          <w:szCs w:val="18"/>
        </w:rPr>
        <w:footnoteRef/>
      </w:r>
      <w:r w:rsidRPr="00776A6A">
        <w:rPr>
          <w:sz w:val="18"/>
          <w:szCs w:val="18"/>
        </w:rPr>
        <w:t xml:space="preserve">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t xml:space="preserve">Vysvětlivky: V souladu s čl. 2 bodem 16 nařízení o taxonomii se „dobrým stavem ekosystému“ rozumí skutečnost, že je ekosystém v dobrém fyzickém, chemickém a biologickém stavu nebo je dobré fyzikální, chemické </w:t>
      </w:r>
      <w:r w:rsidRPr="00776A6A">
        <w:rPr>
          <w:rFonts w:asciiTheme="minorHAnsi" w:hAnsiTheme="minorHAnsi" w:cstheme="minorHAnsi"/>
          <w:i/>
          <w:iCs/>
          <w:sz w:val="18"/>
          <w:szCs w:val="18"/>
        </w:rPr>
        <w:br/>
        <w:t xml:space="preserve">a biologické kvality se schopností </w:t>
      </w:r>
      <w:proofErr w:type="spellStart"/>
      <w:r w:rsidR="00F029FF" w:rsidRPr="00776A6A">
        <w:rPr>
          <w:rFonts w:asciiTheme="minorHAnsi" w:hAnsiTheme="minorHAnsi" w:cstheme="minorHAnsi"/>
          <w:i/>
          <w:iCs/>
          <w:sz w:val="18"/>
          <w:szCs w:val="18"/>
        </w:rPr>
        <w:t>samoreprodukce</w:t>
      </w:r>
      <w:proofErr w:type="spellEnd"/>
      <w:r w:rsidRPr="00776A6A">
        <w:rPr>
          <w:rFonts w:asciiTheme="minorHAnsi" w:hAnsiTheme="minorHAnsi" w:cstheme="minorHAnsi"/>
          <w:i/>
          <w:iCs/>
          <w:sz w:val="18"/>
          <w:szCs w:val="18"/>
        </w:rPr>
        <w:t xml:space="preserve"> nebo obnovy vlastní rovnováhy, ve kterém není ohrožena druhová skladba, struktura ekosystému a ekologické funkce</w:t>
      </w:r>
      <w:r w:rsidRPr="00776A6A">
        <w:rPr>
          <w:rFonts w:asciiTheme="minorHAnsi" w:hAnsiTheme="minorHAnsi" w:cstheme="minorHAnsi"/>
          <w:sz w:val="18"/>
          <w:szCs w:val="18"/>
        </w:rPr>
        <w:t>“.</w:t>
      </w:r>
    </w:p>
    <w:p w14:paraId="3F8B9830" w14:textId="50521517" w:rsidR="00DC6537" w:rsidRPr="00776A6A" w:rsidRDefault="00DC653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2419472"/>
      <w:docPartObj>
        <w:docPartGallery w:val="Page Numbers (Top of Page)"/>
        <w:docPartUnique/>
      </w:docPartObj>
    </w:sdtPr>
    <w:sdtEndPr/>
    <w:sdtContent>
      <w:p w14:paraId="735E169C" w14:textId="51BA1505" w:rsidR="00A97B2B" w:rsidRDefault="00A97B2B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CC6AF8" w14:textId="75DB266D" w:rsidR="00EA353E" w:rsidRDefault="00EA35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68DB3" w14:textId="6E1B72BB" w:rsidR="00451C17" w:rsidRPr="00451C17" w:rsidRDefault="00451C17" w:rsidP="00451C17">
    <w:pPr>
      <w:pStyle w:val="Zhlav"/>
    </w:pPr>
    <w:r>
      <w:rPr>
        <w:noProof/>
      </w:rPr>
      <w:drawing>
        <wp:inline distT="0" distB="0" distL="0" distR="0" wp14:anchorId="2E0D675F" wp14:editId="0CBF1F7C">
          <wp:extent cx="5759450" cy="83756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20D0"/>
    <w:multiLevelType w:val="hybridMultilevel"/>
    <w:tmpl w:val="7C60D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D1608"/>
    <w:multiLevelType w:val="hybridMultilevel"/>
    <w:tmpl w:val="84402492"/>
    <w:lvl w:ilvl="0" w:tplc="C076174E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0C1948D0"/>
    <w:multiLevelType w:val="multilevel"/>
    <w:tmpl w:val="4C16361C"/>
    <w:styleLink w:val="Seznam-rovovneslovan"/>
    <w:lvl w:ilvl="0">
      <w:start w:val="1"/>
      <w:numFmt w:val="bullet"/>
      <w:lvlText w:val=""/>
      <w:lvlJc w:val="left"/>
      <w:pPr>
        <w:ind w:left="720" w:hanging="360"/>
      </w:pPr>
      <w:rPr>
        <w:rFonts w:ascii="Wingdings" w:hAnsi="Wingdings"/>
        <w:color w:val="1F4E79" w:themeColor="accent1" w:themeShade="8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egoe UI" w:hAnsi="Segoe UI" w:cs="Courier New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27C2F"/>
    <w:multiLevelType w:val="singleLevel"/>
    <w:tmpl w:val="0405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F4E79" w:themeColor="accent1" w:themeShade="80"/>
        <w:sz w:val="20"/>
        <w:szCs w:val="20"/>
      </w:rPr>
    </w:lvl>
  </w:abstractNum>
  <w:abstractNum w:abstractNumId="4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A5494"/>
    <w:multiLevelType w:val="hybridMultilevel"/>
    <w:tmpl w:val="4E5236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243AC"/>
    <w:multiLevelType w:val="hybridMultilevel"/>
    <w:tmpl w:val="876A7DFC"/>
    <w:lvl w:ilvl="0" w:tplc="20FA9A56">
      <w:start w:val="1"/>
      <w:numFmt w:val="decimal"/>
      <w:pStyle w:val="Odrky1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64602DFC">
      <w:start w:val="1"/>
      <w:numFmt w:val="lowerLetter"/>
      <w:lvlText w:val="%2."/>
      <w:lvlJc w:val="left"/>
      <w:pPr>
        <w:ind w:left="1440" w:hanging="360"/>
      </w:pPr>
    </w:lvl>
    <w:lvl w:ilvl="2" w:tplc="9C20ED3C">
      <w:start w:val="1"/>
      <w:numFmt w:val="lowerRoman"/>
      <w:lvlText w:val="%3."/>
      <w:lvlJc w:val="right"/>
      <w:pPr>
        <w:ind w:left="2160" w:hanging="180"/>
      </w:pPr>
    </w:lvl>
    <w:lvl w:ilvl="3" w:tplc="A8D0E0E4">
      <w:start w:val="1"/>
      <w:numFmt w:val="decimal"/>
      <w:lvlText w:val="%4."/>
      <w:lvlJc w:val="left"/>
      <w:pPr>
        <w:ind w:left="2880" w:hanging="360"/>
      </w:pPr>
    </w:lvl>
    <w:lvl w:ilvl="4" w:tplc="28329296">
      <w:start w:val="1"/>
      <w:numFmt w:val="lowerLetter"/>
      <w:lvlText w:val="%5."/>
      <w:lvlJc w:val="left"/>
      <w:pPr>
        <w:ind w:left="3600" w:hanging="360"/>
      </w:pPr>
    </w:lvl>
    <w:lvl w:ilvl="5" w:tplc="21621E68">
      <w:start w:val="1"/>
      <w:numFmt w:val="lowerRoman"/>
      <w:lvlText w:val="%6."/>
      <w:lvlJc w:val="right"/>
      <w:pPr>
        <w:ind w:left="4320" w:hanging="180"/>
      </w:pPr>
    </w:lvl>
    <w:lvl w:ilvl="6" w:tplc="FCA038E8">
      <w:start w:val="1"/>
      <w:numFmt w:val="decimal"/>
      <w:lvlText w:val="%7."/>
      <w:lvlJc w:val="left"/>
      <w:pPr>
        <w:ind w:left="5040" w:hanging="360"/>
      </w:pPr>
    </w:lvl>
    <w:lvl w:ilvl="7" w:tplc="7F5437F2">
      <w:start w:val="1"/>
      <w:numFmt w:val="lowerLetter"/>
      <w:lvlText w:val="%8."/>
      <w:lvlJc w:val="left"/>
      <w:pPr>
        <w:ind w:left="5760" w:hanging="360"/>
      </w:pPr>
    </w:lvl>
    <w:lvl w:ilvl="8" w:tplc="8EB0971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326BB"/>
    <w:multiLevelType w:val="hybridMultilevel"/>
    <w:tmpl w:val="C29EA5C2"/>
    <w:lvl w:ilvl="0" w:tplc="B2D6676A">
      <w:start w:val="4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44E25427"/>
    <w:multiLevelType w:val="hybridMultilevel"/>
    <w:tmpl w:val="68D671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02F45"/>
    <w:multiLevelType w:val="hybridMultilevel"/>
    <w:tmpl w:val="24FAF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75D4E"/>
    <w:multiLevelType w:val="multilevel"/>
    <w:tmpl w:val="0405001D"/>
    <w:styleLink w:val="Seznam-neslovan"/>
    <w:lvl w:ilvl="0">
      <w:start w:val="1"/>
      <w:numFmt w:val="bullet"/>
      <w:lvlText w:val=""/>
      <w:lvlJc w:val="left"/>
      <w:pPr>
        <w:ind w:left="360" w:hanging="360"/>
      </w:pPr>
      <w:rPr>
        <w:rFonts w:ascii="Wingdings" w:hAnsi="Wingdings" w:hint="default"/>
        <w:color w:val="1F4E79" w:themeColor="accent1" w:themeShade="80"/>
        <w:sz w:val="20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Segoe UI" w:hAnsi="Segoe UI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F4E79" w:themeColor="accent1" w:themeShade="80"/>
        <w:sz w:val="20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E79" w:themeColor="accent1" w:themeShade="8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D870615"/>
    <w:multiLevelType w:val="multilevel"/>
    <w:tmpl w:val="FF88AE2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color w:val="1F4E79" w:themeColor="accent1" w:themeShade="8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1077" w:hanging="510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527C1FA7"/>
    <w:multiLevelType w:val="multilevel"/>
    <w:tmpl w:val="A31C1908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%1.%2.%3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pStyle w:val="OM-nadpis4"/>
      <w:lvlText w:val="%1.%2.%3.%4"/>
      <w:lvlJc w:val="left"/>
      <w:pPr>
        <w:ind w:left="3842" w:hanging="86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OM-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4DB2DB0"/>
    <w:multiLevelType w:val="hybridMultilevel"/>
    <w:tmpl w:val="F4B8B7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27BEC"/>
    <w:multiLevelType w:val="hybridMultilevel"/>
    <w:tmpl w:val="CFACB7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3684702"/>
    <w:multiLevelType w:val="multilevel"/>
    <w:tmpl w:val="6262DD04"/>
    <w:lvl w:ilvl="0">
      <w:start w:val="1"/>
      <w:numFmt w:val="decimal"/>
      <w:lvlText w:val="%1"/>
      <w:lvlJc w:val="left"/>
      <w:pPr>
        <w:ind w:left="3977" w:hanging="432"/>
      </w:pPr>
      <w:rPr>
        <w:b/>
        <w:color w:val="auto"/>
        <w:sz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8AA0E3D"/>
    <w:multiLevelType w:val="hybridMultilevel"/>
    <w:tmpl w:val="AE7EA64A"/>
    <w:lvl w:ilvl="0" w:tplc="E7CAC9E8">
      <w:start w:val="1"/>
      <w:numFmt w:val="decimal"/>
      <w:pStyle w:val="Odrky10"/>
      <w:lvlText w:val="%1)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</w:rPr>
    </w:lvl>
    <w:lvl w:ilvl="1" w:tplc="0902D054">
      <w:start w:val="1"/>
      <w:numFmt w:val="lowerLetter"/>
      <w:lvlText w:val="%2."/>
      <w:lvlJc w:val="left"/>
      <w:pPr>
        <w:ind w:left="1648" w:hanging="360"/>
      </w:pPr>
    </w:lvl>
    <w:lvl w:ilvl="2" w:tplc="A208AFD0">
      <w:start w:val="1"/>
      <w:numFmt w:val="lowerRoman"/>
      <w:lvlText w:val="%3."/>
      <w:lvlJc w:val="right"/>
      <w:pPr>
        <w:ind w:left="2368" w:hanging="180"/>
      </w:pPr>
    </w:lvl>
    <w:lvl w:ilvl="3" w:tplc="6D3E638C">
      <w:start w:val="1"/>
      <w:numFmt w:val="decimal"/>
      <w:lvlText w:val="%4."/>
      <w:lvlJc w:val="left"/>
      <w:pPr>
        <w:ind w:left="3088" w:hanging="360"/>
      </w:pPr>
    </w:lvl>
    <w:lvl w:ilvl="4" w:tplc="532AF6DA">
      <w:start w:val="1"/>
      <w:numFmt w:val="lowerLetter"/>
      <w:lvlText w:val="%5."/>
      <w:lvlJc w:val="left"/>
      <w:pPr>
        <w:ind w:left="3808" w:hanging="360"/>
      </w:pPr>
    </w:lvl>
    <w:lvl w:ilvl="5" w:tplc="AFE800D0">
      <w:start w:val="1"/>
      <w:numFmt w:val="lowerRoman"/>
      <w:lvlText w:val="%6."/>
      <w:lvlJc w:val="right"/>
      <w:pPr>
        <w:ind w:left="4528" w:hanging="180"/>
      </w:pPr>
    </w:lvl>
    <w:lvl w:ilvl="6" w:tplc="932A2ED2">
      <w:start w:val="1"/>
      <w:numFmt w:val="decimal"/>
      <w:lvlText w:val="%7."/>
      <w:lvlJc w:val="left"/>
      <w:pPr>
        <w:ind w:left="5248" w:hanging="360"/>
      </w:pPr>
    </w:lvl>
    <w:lvl w:ilvl="7" w:tplc="9DA68936">
      <w:start w:val="1"/>
      <w:numFmt w:val="lowerLetter"/>
      <w:lvlText w:val="%8."/>
      <w:lvlJc w:val="left"/>
      <w:pPr>
        <w:ind w:left="5968" w:hanging="360"/>
      </w:pPr>
    </w:lvl>
    <w:lvl w:ilvl="8" w:tplc="4F2CAEFC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9076C6D"/>
    <w:multiLevelType w:val="hybridMultilevel"/>
    <w:tmpl w:val="CCBCE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AE71B0"/>
    <w:multiLevelType w:val="hybridMultilevel"/>
    <w:tmpl w:val="10DADD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A49A4"/>
    <w:multiLevelType w:val="hybridMultilevel"/>
    <w:tmpl w:val="545E07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81AB9"/>
    <w:multiLevelType w:val="multilevel"/>
    <w:tmpl w:val="E2DA6D6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7885D99"/>
    <w:multiLevelType w:val="hybridMultilevel"/>
    <w:tmpl w:val="7422C5B6"/>
    <w:lvl w:ilvl="0" w:tplc="F718EDE8">
      <w:start w:val="1"/>
      <w:numFmt w:val="lowerLetter"/>
      <w:lvlText w:val="%1)"/>
      <w:lvlJc w:val="left"/>
      <w:pPr>
        <w:ind w:left="816" w:hanging="45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E1E9E"/>
    <w:multiLevelType w:val="hybridMultilevel"/>
    <w:tmpl w:val="19DA2C4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20"/>
    <w:lvlOverride w:ilvl="0">
      <w:startOverride w:val="1"/>
    </w:lvlOverride>
  </w:num>
  <w:num w:numId="5">
    <w:abstractNumId w:val="6"/>
  </w:num>
  <w:num w:numId="6">
    <w:abstractNumId w:val="2"/>
  </w:num>
  <w:num w:numId="7">
    <w:abstractNumId w:val="12"/>
  </w:num>
  <w:num w:numId="8">
    <w:abstractNumId w:val="3"/>
  </w:num>
  <w:num w:numId="9">
    <w:abstractNumId w:val="24"/>
  </w:num>
  <w:num w:numId="10">
    <w:abstractNumId w:val="13"/>
  </w:num>
  <w:num w:numId="11">
    <w:abstractNumId w:val="13"/>
  </w:num>
  <w:num w:numId="12">
    <w:abstractNumId w:val="13"/>
  </w:num>
  <w:num w:numId="13">
    <w:abstractNumId w:val="15"/>
  </w:num>
  <w:num w:numId="14">
    <w:abstractNumId w:val="10"/>
  </w:num>
  <w:num w:numId="15">
    <w:abstractNumId w:val="13"/>
  </w:num>
  <w:num w:numId="16">
    <w:abstractNumId w:val="19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6"/>
  </w:num>
  <w:num w:numId="20">
    <w:abstractNumId w:val="4"/>
  </w:num>
  <w:num w:numId="21">
    <w:abstractNumId w:val="8"/>
  </w:num>
  <w:num w:numId="22">
    <w:abstractNumId w:val="0"/>
  </w:num>
  <w:num w:numId="23">
    <w:abstractNumId w:val="22"/>
  </w:num>
  <w:num w:numId="24">
    <w:abstractNumId w:val="5"/>
  </w:num>
  <w:num w:numId="25">
    <w:abstractNumId w:val="25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3"/>
  </w:num>
  <w:num w:numId="29">
    <w:abstractNumId w:val="13"/>
  </w:num>
  <w:num w:numId="30">
    <w:abstractNumId w:val="26"/>
  </w:num>
  <w:num w:numId="31">
    <w:abstractNumId w:val="13"/>
  </w:num>
  <w:num w:numId="32">
    <w:abstractNumId w:val="21"/>
  </w:num>
  <w:num w:numId="33">
    <w:abstractNumId w:val="13"/>
  </w:num>
  <w:num w:numId="3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F1C"/>
    <w:rsid w:val="00001494"/>
    <w:rsid w:val="00002D4D"/>
    <w:rsid w:val="000031D4"/>
    <w:rsid w:val="00007711"/>
    <w:rsid w:val="000078B8"/>
    <w:rsid w:val="00007E1B"/>
    <w:rsid w:val="000108C5"/>
    <w:rsid w:val="00013E66"/>
    <w:rsid w:val="00015204"/>
    <w:rsid w:val="000155DF"/>
    <w:rsid w:val="00015DEB"/>
    <w:rsid w:val="00017616"/>
    <w:rsid w:val="000217E7"/>
    <w:rsid w:val="00026D8E"/>
    <w:rsid w:val="00031A58"/>
    <w:rsid w:val="0003344A"/>
    <w:rsid w:val="0004446C"/>
    <w:rsid w:val="00044AFD"/>
    <w:rsid w:val="00046D60"/>
    <w:rsid w:val="00052054"/>
    <w:rsid w:val="00053FFE"/>
    <w:rsid w:val="00055C44"/>
    <w:rsid w:val="00060D0B"/>
    <w:rsid w:val="00063479"/>
    <w:rsid w:val="00063980"/>
    <w:rsid w:val="00064CC0"/>
    <w:rsid w:val="000668AE"/>
    <w:rsid w:val="00066CC9"/>
    <w:rsid w:val="0007397A"/>
    <w:rsid w:val="00073CBB"/>
    <w:rsid w:val="0008295D"/>
    <w:rsid w:val="000858C3"/>
    <w:rsid w:val="00091C6B"/>
    <w:rsid w:val="00094D12"/>
    <w:rsid w:val="000A092A"/>
    <w:rsid w:val="000A2CA6"/>
    <w:rsid w:val="000A37EF"/>
    <w:rsid w:val="000A3985"/>
    <w:rsid w:val="000A4689"/>
    <w:rsid w:val="000B3A24"/>
    <w:rsid w:val="000C232B"/>
    <w:rsid w:val="000C5D28"/>
    <w:rsid w:val="000C7065"/>
    <w:rsid w:val="000D1A0C"/>
    <w:rsid w:val="000D267C"/>
    <w:rsid w:val="000D26AE"/>
    <w:rsid w:val="000E3977"/>
    <w:rsid w:val="000F25AE"/>
    <w:rsid w:val="000F3CF7"/>
    <w:rsid w:val="000F5C7C"/>
    <w:rsid w:val="00100E92"/>
    <w:rsid w:val="00100EAD"/>
    <w:rsid w:val="0010230C"/>
    <w:rsid w:val="00102630"/>
    <w:rsid w:val="00102DAB"/>
    <w:rsid w:val="00106558"/>
    <w:rsid w:val="001079C2"/>
    <w:rsid w:val="00113212"/>
    <w:rsid w:val="00113E5E"/>
    <w:rsid w:val="00116820"/>
    <w:rsid w:val="00117525"/>
    <w:rsid w:val="001206CA"/>
    <w:rsid w:val="00122D23"/>
    <w:rsid w:val="001454AA"/>
    <w:rsid w:val="00155D0D"/>
    <w:rsid w:val="001628BE"/>
    <w:rsid w:val="00166986"/>
    <w:rsid w:val="00166AE0"/>
    <w:rsid w:val="0016731A"/>
    <w:rsid w:val="00167AE4"/>
    <w:rsid w:val="00172D86"/>
    <w:rsid w:val="00176C95"/>
    <w:rsid w:val="00187DF3"/>
    <w:rsid w:val="00190C4A"/>
    <w:rsid w:val="00192229"/>
    <w:rsid w:val="001A2573"/>
    <w:rsid w:val="001B0494"/>
    <w:rsid w:val="001C22EE"/>
    <w:rsid w:val="001C5756"/>
    <w:rsid w:val="001C6534"/>
    <w:rsid w:val="001D1E63"/>
    <w:rsid w:val="001D5AF8"/>
    <w:rsid w:val="001D6987"/>
    <w:rsid w:val="001D6F1A"/>
    <w:rsid w:val="001E014E"/>
    <w:rsid w:val="001E2D3C"/>
    <w:rsid w:val="001E301A"/>
    <w:rsid w:val="001E4B09"/>
    <w:rsid w:val="001F0151"/>
    <w:rsid w:val="001F142F"/>
    <w:rsid w:val="001F5726"/>
    <w:rsid w:val="001F6AA4"/>
    <w:rsid w:val="00200906"/>
    <w:rsid w:val="0020153E"/>
    <w:rsid w:val="00201625"/>
    <w:rsid w:val="002123D7"/>
    <w:rsid w:val="002129BB"/>
    <w:rsid w:val="00214AE6"/>
    <w:rsid w:val="00223CFF"/>
    <w:rsid w:val="0023579F"/>
    <w:rsid w:val="00237D84"/>
    <w:rsid w:val="0024011D"/>
    <w:rsid w:val="002413E9"/>
    <w:rsid w:val="0024148B"/>
    <w:rsid w:val="00244611"/>
    <w:rsid w:val="00245149"/>
    <w:rsid w:val="00245DC4"/>
    <w:rsid w:val="00245DE9"/>
    <w:rsid w:val="00247089"/>
    <w:rsid w:val="00251383"/>
    <w:rsid w:val="00252BCE"/>
    <w:rsid w:val="00261B69"/>
    <w:rsid w:val="00263A8D"/>
    <w:rsid w:val="00264DB8"/>
    <w:rsid w:val="00274C98"/>
    <w:rsid w:val="00275911"/>
    <w:rsid w:val="00275AA1"/>
    <w:rsid w:val="0028732C"/>
    <w:rsid w:val="00290873"/>
    <w:rsid w:val="002976DB"/>
    <w:rsid w:val="002A041B"/>
    <w:rsid w:val="002A050C"/>
    <w:rsid w:val="002A1994"/>
    <w:rsid w:val="002A29DE"/>
    <w:rsid w:val="002A5AC5"/>
    <w:rsid w:val="002A6828"/>
    <w:rsid w:val="002B186A"/>
    <w:rsid w:val="002B2BF9"/>
    <w:rsid w:val="002B5762"/>
    <w:rsid w:val="002B653C"/>
    <w:rsid w:val="002B7DBF"/>
    <w:rsid w:val="002C151C"/>
    <w:rsid w:val="002C2451"/>
    <w:rsid w:val="002C36F7"/>
    <w:rsid w:val="002C5B93"/>
    <w:rsid w:val="002D1374"/>
    <w:rsid w:val="002D62FD"/>
    <w:rsid w:val="002D6425"/>
    <w:rsid w:val="002E2C54"/>
    <w:rsid w:val="002E3342"/>
    <w:rsid w:val="002E7CF8"/>
    <w:rsid w:val="00301684"/>
    <w:rsid w:val="00303DBF"/>
    <w:rsid w:val="00313C91"/>
    <w:rsid w:val="003176C6"/>
    <w:rsid w:val="00332A9E"/>
    <w:rsid w:val="003464D1"/>
    <w:rsid w:val="00351E74"/>
    <w:rsid w:val="00354E56"/>
    <w:rsid w:val="003553F8"/>
    <w:rsid w:val="003561B7"/>
    <w:rsid w:val="003563D5"/>
    <w:rsid w:val="003664D0"/>
    <w:rsid w:val="003667CF"/>
    <w:rsid w:val="00367183"/>
    <w:rsid w:val="00374D37"/>
    <w:rsid w:val="003766D7"/>
    <w:rsid w:val="0038251D"/>
    <w:rsid w:val="003838C4"/>
    <w:rsid w:val="00384DD8"/>
    <w:rsid w:val="003878D4"/>
    <w:rsid w:val="00396BAA"/>
    <w:rsid w:val="003A08A2"/>
    <w:rsid w:val="003A4B7B"/>
    <w:rsid w:val="003A7924"/>
    <w:rsid w:val="003B3B57"/>
    <w:rsid w:val="003C2D97"/>
    <w:rsid w:val="003C305E"/>
    <w:rsid w:val="003C6BAC"/>
    <w:rsid w:val="003C7F0F"/>
    <w:rsid w:val="003D3AB9"/>
    <w:rsid w:val="003D4611"/>
    <w:rsid w:val="003E4BBB"/>
    <w:rsid w:val="003F449D"/>
    <w:rsid w:val="003F470B"/>
    <w:rsid w:val="003F660E"/>
    <w:rsid w:val="003F7B94"/>
    <w:rsid w:val="00400E10"/>
    <w:rsid w:val="00401D8A"/>
    <w:rsid w:val="00404856"/>
    <w:rsid w:val="00412253"/>
    <w:rsid w:val="00421D89"/>
    <w:rsid w:val="00422604"/>
    <w:rsid w:val="004257A7"/>
    <w:rsid w:val="00434AF4"/>
    <w:rsid w:val="00434F8A"/>
    <w:rsid w:val="004355CA"/>
    <w:rsid w:val="00435A3C"/>
    <w:rsid w:val="00441042"/>
    <w:rsid w:val="00442923"/>
    <w:rsid w:val="004447C3"/>
    <w:rsid w:val="0044486F"/>
    <w:rsid w:val="00445372"/>
    <w:rsid w:val="00445E4E"/>
    <w:rsid w:val="004466F7"/>
    <w:rsid w:val="00450163"/>
    <w:rsid w:val="00451C17"/>
    <w:rsid w:val="00452263"/>
    <w:rsid w:val="00454BE4"/>
    <w:rsid w:val="0045644F"/>
    <w:rsid w:val="00457CE0"/>
    <w:rsid w:val="004721ED"/>
    <w:rsid w:val="00473446"/>
    <w:rsid w:val="00474D42"/>
    <w:rsid w:val="00475FCC"/>
    <w:rsid w:val="00485F65"/>
    <w:rsid w:val="00490231"/>
    <w:rsid w:val="00492285"/>
    <w:rsid w:val="004925F4"/>
    <w:rsid w:val="00492AB9"/>
    <w:rsid w:val="0049512A"/>
    <w:rsid w:val="004969E0"/>
    <w:rsid w:val="004A0E0E"/>
    <w:rsid w:val="004A1AD7"/>
    <w:rsid w:val="004A3F08"/>
    <w:rsid w:val="004A42F0"/>
    <w:rsid w:val="004A5FCC"/>
    <w:rsid w:val="004A6830"/>
    <w:rsid w:val="004B1032"/>
    <w:rsid w:val="004B4F31"/>
    <w:rsid w:val="004B7648"/>
    <w:rsid w:val="004C0C17"/>
    <w:rsid w:val="004C2321"/>
    <w:rsid w:val="004C4C9D"/>
    <w:rsid w:val="004C7521"/>
    <w:rsid w:val="004E2055"/>
    <w:rsid w:val="004E2365"/>
    <w:rsid w:val="004E5588"/>
    <w:rsid w:val="004F03E4"/>
    <w:rsid w:val="004F068F"/>
    <w:rsid w:val="004F39A8"/>
    <w:rsid w:val="004F7921"/>
    <w:rsid w:val="00506CCB"/>
    <w:rsid w:val="0051168F"/>
    <w:rsid w:val="00517D26"/>
    <w:rsid w:val="005230DD"/>
    <w:rsid w:val="00523B23"/>
    <w:rsid w:val="00523D7D"/>
    <w:rsid w:val="00525B37"/>
    <w:rsid w:val="00531B3A"/>
    <w:rsid w:val="00534311"/>
    <w:rsid w:val="00536295"/>
    <w:rsid w:val="00542A80"/>
    <w:rsid w:val="005520D1"/>
    <w:rsid w:val="005577DB"/>
    <w:rsid w:val="0056007B"/>
    <w:rsid w:val="00560D5C"/>
    <w:rsid w:val="00564D59"/>
    <w:rsid w:val="00565D9F"/>
    <w:rsid w:val="00566E4B"/>
    <w:rsid w:val="00573744"/>
    <w:rsid w:val="0058123E"/>
    <w:rsid w:val="00586C19"/>
    <w:rsid w:val="0059791C"/>
    <w:rsid w:val="005A27DE"/>
    <w:rsid w:val="005A3FC9"/>
    <w:rsid w:val="005A4A55"/>
    <w:rsid w:val="005A7145"/>
    <w:rsid w:val="005B136C"/>
    <w:rsid w:val="005B1C24"/>
    <w:rsid w:val="005B314C"/>
    <w:rsid w:val="005B7DD0"/>
    <w:rsid w:val="005C3DE3"/>
    <w:rsid w:val="005C52D2"/>
    <w:rsid w:val="005D48AB"/>
    <w:rsid w:val="005D63E8"/>
    <w:rsid w:val="005E1683"/>
    <w:rsid w:val="005E2A5C"/>
    <w:rsid w:val="005E5AE8"/>
    <w:rsid w:val="005E733C"/>
    <w:rsid w:val="005F0890"/>
    <w:rsid w:val="005F1BA2"/>
    <w:rsid w:val="005F6878"/>
    <w:rsid w:val="005F7DC2"/>
    <w:rsid w:val="0060134E"/>
    <w:rsid w:val="00604AAD"/>
    <w:rsid w:val="00607934"/>
    <w:rsid w:val="006232DD"/>
    <w:rsid w:val="00623E34"/>
    <w:rsid w:val="0063232E"/>
    <w:rsid w:val="00636856"/>
    <w:rsid w:val="00642611"/>
    <w:rsid w:val="00643C97"/>
    <w:rsid w:val="00643FC9"/>
    <w:rsid w:val="006463D9"/>
    <w:rsid w:val="00647E18"/>
    <w:rsid w:val="00650EF9"/>
    <w:rsid w:val="00651015"/>
    <w:rsid w:val="00651EBC"/>
    <w:rsid w:val="00652A9E"/>
    <w:rsid w:val="00656416"/>
    <w:rsid w:val="00660570"/>
    <w:rsid w:val="006605D4"/>
    <w:rsid w:val="00661F22"/>
    <w:rsid w:val="00664BC9"/>
    <w:rsid w:val="00665E8A"/>
    <w:rsid w:val="00666F11"/>
    <w:rsid w:val="006671B3"/>
    <w:rsid w:val="006729B8"/>
    <w:rsid w:val="0068187B"/>
    <w:rsid w:val="00685A44"/>
    <w:rsid w:val="00695082"/>
    <w:rsid w:val="00696CFE"/>
    <w:rsid w:val="006A3655"/>
    <w:rsid w:val="006B052E"/>
    <w:rsid w:val="006B6127"/>
    <w:rsid w:val="006C0834"/>
    <w:rsid w:val="006C0BB1"/>
    <w:rsid w:val="006D2C62"/>
    <w:rsid w:val="006D3FDA"/>
    <w:rsid w:val="006F1007"/>
    <w:rsid w:val="006F715C"/>
    <w:rsid w:val="007100A1"/>
    <w:rsid w:val="007166AB"/>
    <w:rsid w:val="00722FB6"/>
    <w:rsid w:val="0072345C"/>
    <w:rsid w:val="00723AA7"/>
    <w:rsid w:val="0072518E"/>
    <w:rsid w:val="007303FD"/>
    <w:rsid w:val="00733781"/>
    <w:rsid w:val="0073501B"/>
    <w:rsid w:val="00752947"/>
    <w:rsid w:val="0075457C"/>
    <w:rsid w:val="00760D93"/>
    <w:rsid w:val="0076445F"/>
    <w:rsid w:val="007714D7"/>
    <w:rsid w:val="00772CF4"/>
    <w:rsid w:val="00773E22"/>
    <w:rsid w:val="00773F50"/>
    <w:rsid w:val="007741AD"/>
    <w:rsid w:val="007755FF"/>
    <w:rsid w:val="00776A6A"/>
    <w:rsid w:val="007873AB"/>
    <w:rsid w:val="00787B73"/>
    <w:rsid w:val="00792D65"/>
    <w:rsid w:val="007961CE"/>
    <w:rsid w:val="00796F77"/>
    <w:rsid w:val="00797F2D"/>
    <w:rsid w:val="007A25D5"/>
    <w:rsid w:val="007A29A1"/>
    <w:rsid w:val="007A2B60"/>
    <w:rsid w:val="007A5A1C"/>
    <w:rsid w:val="007B2FFF"/>
    <w:rsid w:val="007C4947"/>
    <w:rsid w:val="007D2903"/>
    <w:rsid w:val="007D4C26"/>
    <w:rsid w:val="007E12F6"/>
    <w:rsid w:val="007E27D8"/>
    <w:rsid w:val="007E58BB"/>
    <w:rsid w:val="007E7FBC"/>
    <w:rsid w:val="007F0DBB"/>
    <w:rsid w:val="007F212F"/>
    <w:rsid w:val="007F24A3"/>
    <w:rsid w:val="007F3958"/>
    <w:rsid w:val="007F6FE8"/>
    <w:rsid w:val="008009D4"/>
    <w:rsid w:val="00800C6F"/>
    <w:rsid w:val="008028D8"/>
    <w:rsid w:val="008058FB"/>
    <w:rsid w:val="0080752A"/>
    <w:rsid w:val="0080779C"/>
    <w:rsid w:val="00807F43"/>
    <w:rsid w:val="00812692"/>
    <w:rsid w:val="008157B1"/>
    <w:rsid w:val="008173E5"/>
    <w:rsid w:val="00820CB1"/>
    <w:rsid w:val="00820F51"/>
    <w:rsid w:val="00822903"/>
    <w:rsid w:val="00823503"/>
    <w:rsid w:val="00824C52"/>
    <w:rsid w:val="008277E6"/>
    <w:rsid w:val="00832986"/>
    <w:rsid w:val="00833564"/>
    <w:rsid w:val="00833D19"/>
    <w:rsid w:val="00834844"/>
    <w:rsid w:val="00836D09"/>
    <w:rsid w:val="00837E45"/>
    <w:rsid w:val="008411B2"/>
    <w:rsid w:val="008464BC"/>
    <w:rsid w:val="008506CF"/>
    <w:rsid w:val="00851A7E"/>
    <w:rsid w:val="008574A7"/>
    <w:rsid w:val="00861106"/>
    <w:rsid w:val="00861773"/>
    <w:rsid w:val="008618AB"/>
    <w:rsid w:val="008625C3"/>
    <w:rsid w:val="00863DA4"/>
    <w:rsid w:val="008654E9"/>
    <w:rsid w:val="008673D1"/>
    <w:rsid w:val="00871BB5"/>
    <w:rsid w:val="00892957"/>
    <w:rsid w:val="00893F87"/>
    <w:rsid w:val="008A146E"/>
    <w:rsid w:val="008A2407"/>
    <w:rsid w:val="008A47C9"/>
    <w:rsid w:val="008A548C"/>
    <w:rsid w:val="008A67BD"/>
    <w:rsid w:val="008A6C1E"/>
    <w:rsid w:val="008A7C8F"/>
    <w:rsid w:val="008B124B"/>
    <w:rsid w:val="008B5885"/>
    <w:rsid w:val="008B5C69"/>
    <w:rsid w:val="008B654E"/>
    <w:rsid w:val="008C4B92"/>
    <w:rsid w:val="008C7F53"/>
    <w:rsid w:val="008D17F9"/>
    <w:rsid w:val="008D1952"/>
    <w:rsid w:val="008D2A9A"/>
    <w:rsid w:val="008D2FC2"/>
    <w:rsid w:val="008D349B"/>
    <w:rsid w:val="008E3E09"/>
    <w:rsid w:val="008E579A"/>
    <w:rsid w:val="008F03AE"/>
    <w:rsid w:val="008F08CC"/>
    <w:rsid w:val="008F4141"/>
    <w:rsid w:val="008F5F2D"/>
    <w:rsid w:val="008F76EA"/>
    <w:rsid w:val="008F7E82"/>
    <w:rsid w:val="00902001"/>
    <w:rsid w:val="00907B5B"/>
    <w:rsid w:val="009121EC"/>
    <w:rsid w:val="009137F1"/>
    <w:rsid w:val="00914FE8"/>
    <w:rsid w:val="00917E3A"/>
    <w:rsid w:val="009246C4"/>
    <w:rsid w:val="009343B7"/>
    <w:rsid w:val="00945E3E"/>
    <w:rsid w:val="00947DC7"/>
    <w:rsid w:val="009509D4"/>
    <w:rsid w:val="00957F8C"/>
    <w:rsid w:val="009626D1"/>
    <w:rsid w:val="009649E2"/>
    <w:rsid w:val="00966D37"/>
    <w:rsid w:val="009670D1"/>
    <w:rsid w:val="00973663"/>
    <w:rsid w:val="00980757"/>
    <w:rsid w:val="00986A0F"/>
    <w:rsid w:val="00986CA7"/>
    <w:rsid w:val="00987B7F"/>
    <w:rsid w:val="00987CFE"/>
    <w:rsid w:val="00990AAF"/>
    <w:rsid w:val="00997E7C"/>
    <w:rsid w:val="009A16A3"/>
    <w:rsid w:val="009A32CE"/>
    <w:rsid w:val="009A5EDF"/>
    <w:rsid w:val="009A6817"/>
    <w:rsid w:val="009A7FE8"/>
    <w:rsid w:val="009B1E0E"/>
    <w:rsid w:val="009B5DC0"/>
    <w:rsid w:val="009B5FB1"/>
    <w:rsid w:val="009B6313"/>
    <w:rsid w:val="009B7B05"/>
    <w:rsid w:val="009C144B"/>
    <w:rsid w:val="009C1813"/>
    <w:rsid w:val="009C41C4"/>
    <w:rsid w:val="009C5078"/>
    <w:rsid w:val="009D36A3"/>
    <w:rsid w:val="009D735F"/>
    <w:rsid w:val="009E0F6A"/>
    <w:rsid w:val="009E267B"/>
    <w:rsid w:val="009E447A"/>
    <w:rsid w:val="009E5207"/>
    <w:rsid w:val="009F43E2"/>
    <w:rsid w:val="009F7761"/>
    <w:rsid w:val="009F79B9"/>
    <w:rsid w:val="00A04254"/>
    <w:rsid w:val="00A057F9"/>
    <w:rsid w:val="00A06523"/>
    <w:rsid w:val="00A0689C"/>
    <w:rsid w:val="00A072CD"/>
    <w:rsid w:val="00A12C72"/>
    <w:rsid w:val="00A132D3"/>
    <w:rsid w:val="00A14F1C"/>
    <w:rsid w:val="00A16825"/>
    <w:rsid w:val="00A30198"/>
    <w:rsid w:val="00A312AB"/>
    <w:rsid w:val="00A32A1E"/>
    <w:rsid w:val="00A32F48"/>
    <w:rsid w:val="00A33C99"/>
    <w:rsid w:val="00A35720"/>
    <w:rsid w:val="00A36AAA"/>
    <w:rsid w:val="00A42AA1"/>
    <w:rsid w:val="00A447C0"/>
    <w:rsid w:val="00A57E7A"/>
    <w:rsid w:val="00A64DC3"/>
    <w:rsid w:val="00A653DF"/>
    <w:rsid w:val="00A702A7"/>
    <w:rsid w:val="00A74F0F"/>
    <w:rsid w:val="00A7721D"/>
    <w:rsid w:val="00A80149"/>
    <w:rsid w:val="00A843E2"/>
    <w:rsid w:val="00A84A60"/>
    <w:rsid w:val="00A9015A"/>
    <w:rsid w:val="00A9158B"/>
    <w:rsid w:val="00A919E7"/>
    <w:rsid w:val="00A94534"/>
    <w:rsid w:val="00A97B2B"/>
    <w:rsid w:val="00AA3AD5"/>
    <w:rsid w:val="00AA7ECF"/>
    <w:rsid w:val="00AB052D"/>
    <w:rsid w:val="00AB136B"/>
    <w:rsid w:val="00AB583C"/>
    <w:rsid w:val="00AB712B"/>
    <w:rsid w:val="00AC234A"/>
    <w:rsid w:val="00AC548E"/>
    <w:rsid w:val="00AC5B8D"/>
    <w:rsid w:val="00AD0CD2"/>
    <w:rsid w:val="00AD2397"/>
    <w:rsid w:val="00AD3DC5"/>
    <w:rsid w:val="00AD53BC"/>
    <w:rsid w:val="00AD7911"/>
    <w:rsid w:val="00AE1567"/>
    <w:rsid w:val="00AE312B"/>
    <w:rsid w:val="00AE4D7B"/>
    <w:rsid w:val="00AF4007"/>
    <w:rsid w:val="00AF7B7E"/>
    <w:rsid w:val="00B03B13"/>
    <w:rsid w:val="00B03E89"/>
    <w:rsid w:val="00B040A6"/>
    <w:rsid w:val="00B07808"/>
    <w:rsid w:val="00B11B1F"/>
    <w:rsid w:val="00B15454"/>
    <w:rsid w:val="00B16E89"/>
    <w:rsid w:val="00B17DFD"/>
    <w:rsid w:val="00B207F4"/>
    <w:rsid w:val="00B21C48"/>
    <w:rsid w:val="00B23C33"/>
    <w:rsid w:val="00B26871"/>
    <w:rsid w:val="00B30513"/>
    <w:rsid w:val="00B31BF7"/>
    <w:rsid w:val="00B353E0"/>
    <w:rsid w:val="00B35EE1"/>
    <w:rsid w:val="00B43A31"/>
    <w:rsid w:val="00B44A5C"/>
    <w:rsid w:val="00B44F74"/>
    <w:rsid w:val="00B528D0"/>
    <w:rsid w:val="00B55260"/>
    <w:rsid w:val="00B60E08"/>
    <w:rsid w:val="00B6780A"/>
    <w:rsid w:val="00B80F85"/>
    <w:rsid w:val="00B81551"/>
    <w:rsid w:val="00B81AC9"/>
    <w:rsid w:val="00B83798"/>
    <w:rsid w:val="00B8770A"/>
    <w:rsid w:val="00B87856"/>
    <w:rsid w:val="00B959F9"/>
    <w:rsid w:val="00B969CF"/>
    <w:rsid w:val="00BA4C6C"/>
    <w:rsid w:val="00BB1529"/>
    <w:rsid w:val="00BB1B48"/>
    <w:rsid w:val="00BB5889"/>
    <w:rsid w:val="00BB78F6"/>
    <w:rsid w:val="00BC14D8"/>
    <w:rsid w:val="00BC187B"/>
    <w:rsid w:val="00BC78CC"/>
    <w:rsid w:val="00BD09B1"/>
    <w:rsid w:val="00BD0C8D"/>
    <w:rsid w:val="00BD411A"/>
    <w:rsid w:val="00BD7BA5"/>
    <w:rsid w:val="00BE4AA9"/>
    <w:rsid w:val="00BF46C7"/>
    <w:rsid w:val="00BF6B72"/>
    <w:rsid w:val="00BF7312"/>
    <w:rsid w:val="00C026D5"/>
    <w:rsid w:val="00C040A2"/>
    <w:rsid w:val="00C0473C"/>
    <w:rsid w:val="00C067B8"/>
    <w:rsid w:val="00C15C0F"/>
    <w:rsid w:val="00C21FC0"/>
    <w:rsid w:val="00C2448C"/>
    <w:rsid w:val="00C25AA8"/>
    <w:rsid w:val="00C30B2C"/>
    <w:rsid w:val="00C351CC"/>
    <w:rsid w:val="00C362BA"/>
    <w:rsid w:val="00C36DC2"/>
    <w:rsid w:val="00C42C1D"/>
    <w:rsid w:val="00C53E55"/>
    <w:rsid w:val="00C558FF"/>
    <w:rsid w:val="00C55CB5"/>
    <w:rsid w:val="00C5681B"/>
    <w:rsid w:val="00C71BD4"/>
    <w:rsid w:val="00C723AF"/>
    <w:rsid w:val="00C72C65"/>
    <w:rsid w:val="00C73A23"/>
    <w:rsid w:val="00C76033"/>
    <w:rsid w:val="00C76415"/>
    <w:rsid w:val="00C81413"/>
    <w:rsid w:val="00C90CDD"/>
    <w:rsid w:val="00CA1C0A"/>
    <w:rsid w:val="00CA28FD"/>
    <w:rsid w:val="00CB43BA"/>
    <w:rsid w:val="00CB7379"/>
    <w:rsid w:val="00CC4386"/>
    <w:rsid w:val="00CC50B6"/>
    <w:rsid w:val="00CD5058"/>
    <w:rsid w:val="00CD5AC8"/>
    <w:rsid w:val="00CD72F1"/>
    <w:rsid w:val="00CD7558"/>
    <w:rsid w:val="00CE5FAF"/>
    <w:rsid w:val="00CF0A98"/>
    <w:rsid w:val="00CF1BAE"/>
    <w:rsid w:val="00CF1E8E"/>
    <w:rsid w:val="00CF3E04"/>
    <w:rsid w:val="00CF4B90"/>
    <w:rsid w:val="00CF6D3C"/>
    <w:rsid w:val="00D02140"/>
    <w:rsid w:val="00D06928"/>
    <w:rsid w:val="00D12320"/>
    <w:rsid w:val="00D1616B"/>
    <w:rsid w:val="00D17253"/>
    <w:rsid w:val="00D173C9"/>
    <w:rsid w:val="00D17C37"/>
    <w:rsid w:val="00D21615"/>
    <w:rsid w:val="00D22595"/>
    <w:rsid w:val="00D4382E"/>
    <w:rsid w:val="00D4426D"/>
    <w:rsid w:val="00D450A3"/>
    <w:rsid w:val="00D472A5"/>
    <w:rsid w:val="00D6432C"/>
    <w:rsid w:val="00D67CE6"/>
    <w:rsid w:val="00D71481"/>
    <w:rsid w:val="00D73397"/>
    <w:rsid w:val="00D7428C"/>
    <w:rsid w:val="00D74305"/>
    <w:rsid w:val="00D81D63"/>
    <w:rsid w:val="00DA1F5D"/>
    <w:rsid w:val="00DA2B39"/>
    <w:rsid w:val="00DA4312"/>
    <w:rsid w:val="00DA4ACD"/>
    <w:rsid w:val="00DA6310"/>
    <w:rsid w:val="00DA6892"/>
    <w:rsid w:val="00DA6BC4"/>
    <w:rsid w:val="00DA6CB4"/>
    <w:rsid w:val="00DA6CD8"/>
    <w:rsid w:val="00DB6165"/>
    <w:rsid w:val="00DB6A2F"/>
    <w:rsid w:val="00DC6537"/>
    <w:rsid w:val="00DD1539"/>
    <w:rsid w:val="00DE040A"/>
    <w:rsid w:val="00DE0C1C"/>
    <w:rsid w:val="00DE4C7F"/>
    <w:rsid w:val="00DF4164"/>
    <w:rsid w:val="00DF51C9"/>
    <w:rsid w:val="00DF6147"/>
    <w:rsid w:val="00DF61D9"/>
    <w:rsid w:val="00DF69F0"/>
    <w:rsid w:val="00DF7B60"/>
    <w:rsid w:val="00E00BA3"/>
    <w:rsid w:val="00E02B21"/>
    <w:rsid w:val="00E037CF"/>
    <w:rsid w:val="00E056F0"/>
    <w:rsid w:val="00E12F20"/>
    <w:rsid w:val="00E172CD"/>
    <w:rsid w:val="00E17FC8"/>
    <w:rsid w:val="00E2105E"/>
    <w:rsid w:val="00E21382"/>
    <w:rsid w:val="00E254E1"/>
    <w:rsid w:val="00E302E9"/>
    <w:rsid w:val="00E303E5"/>
    <w:rsid w:val="00E34BBF"/>
    <w:rsid w:val="00E36A8F"/>
    <w:rsid w:val="00E36F08"/>
    <w:rsid w:val="00E372D5"/>
    <w:rsid w:val="00E41091"/>
    <w:rsid w:val="00E426BC"/>
    <w:rsid w:val="00E43679"/>
    <w:rsid w:val="00E439E7"/>
    <w:rsid w:val="00E451B4"/>
    <w:rsid w:val="00E5333E"/>
    <w:rsid w:val="00E55A29"/>
    <w:rsid w:val="00E61861"/>
    <w:rsid w:val="00E624EC"/>
    <w:rsid w:val="00E67278"/>
    <w:rsid w:val="00E70461"/>
    <w:rsid w:val="00E7470C"/>
    <w:rsid w:val="00E760E3"/>
    <w:rsid w:val="00E80068"/>
    <w:rsid w:val="00E91A15"/>
    <w:rsid w:val="00E96502"/>
    <w:rsid w:val="00E9766E"/>
    <w:rsid w:val="00EA01FB"/>
    <w:rsid w:val="00EA03E7"/>
    <w:rsid w:val="00EA185F"/>
    <w:rsid w:val="00EA214C"/>
    <w:rsid w:val="00EA353E"/>
    <w:rsid w:val="00EB06E7"/>
    <w:rsid w:val="00EB2BEE"/>
    <w:rsid w:val="00EB45E4"/>
    <w:rsid w:val="00EB51C5"/>
    <w:rsid w:val="00EB7819"/>
    <w:rsid w:val="00EC2DE6"/>
    <w:rsid w:val="00EC488B"/>
    <w:rsid w:val="00EE12C1"/>
    <w:rsid w:val="00EF7BCB"/>
    <w:rsid w:val="00F0038F"/>
    <w:rsid w:val="00F029FF"/>
    <w:rsid w:val="00F02B86"/>
    <w:rsid w:val="00F03B12"/>
    <w:rsid w:val="00F10F12"/>
    <w:rsid w:val="00F11B4C"/>
    <w:rsid w:val="00F132DC"/>
    <w:rsid w:val="00F161C0"/>
    <w:rsid w:val="00F25000"/>
    <w:rsid w:val="00F31EA7"/>
    <w:rsid w:val="00F32BC5"/>
    <w:rsid w:val="00F334FC"/>
    <w:rsid w:val="00F34BE5"/>
    <w:rsid w:val="00F42AD6"/>
    <w:rsid w:val="00F50953"/>
    <w:rsid w:val="00F538A6"/>
    <w:rsid w:val="00F53F3E"/>
    <w:rsid w:val="00F56F11"/>
    <w:rsid w:val="00F5776B"/>
    <w:rsid w:val="00F60AF6"/>
    <w:rsid w:val="00F60FC6"/>
    <w:rsid w:val="00F64581"/>
    <w:rsid w:val="00F666E2"/>
    <w:rsid w:val="00F705E0"/>
    <w:rsid w:val="00F732E7"/>
    <w:rsid w:val="00F7545E"/>
    <w:rsid w:val="00F77773"/>
    <w:rsid w:val="00F831F7"/>
    <w:rsid w:val="00F875F8"/>
    <w:rsid w:val="00F94428"/>
    <w:rsid w:val="00F964D6"/>
    <w:rsid w:val="00FA0AFA"/>
    <w:rsid w:val="00FA576C"/>
    <w:rsid w:val="00FA5790"/>
    <w:rsid w:val="00FA6339"/>
    <w:rsid w:val="00FC2278"/>
    <w:rsid w:val="00FC4471"/>
    <w:rsid w:val="00FC4DD5"/>
    <w:rsid w:val="00FC6AD5"/>
    <w:rsid w:val="00FD0C3F"/>
    <w:rsid w:val="00FD225F"/>
    <w:rsid w:val="00FD36E1"/>
    <w:rsid w:val="00FE0766"/>
    <w:rsid w:val="00FE0E69"/>
    <w:rsid w:val="00FE3B8D"/>
    <w:rsid w:val="00FE6FD8"/>
    <w:rsid w:val="00FF062D"/>
    <w:rsid w:val="00FF0FEE"/>
    <w:rsid w:val="00FF16D6"/>
    <w:rsid w:val="00FF188A"/>
    <w:rsid w:val="00FF576F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3F77B9"/>
  <w15:chartTrackingRefBased/>
  <w15:docId w15:val="{18F3F64E-F76D-402F-BC7C-F8C5D6C7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B39"/>
    <w:pPr>
      <w:spacing w:after="120" w:line="264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9E447A"/>
    <w:pPr>
      <w:keepNext/>
      <w:numPr>
        <w:numId w:val="1"/>
      </w:numPr>
      <w:spacing w:before="240" w:after="240"/>
      <w:outlineLvl w:val="0"/>
    </w:pPr>
    <w:rPr>
      <w:b/>
      <w:color w:val="1F4E79" w:themeColor="accent1" w:themeShade="80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E447A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367183"/>
    <w:pPr>
      <w:numPr>
        <w:ilvl w:val="2"/>
      </w:numPr>
      <w:outlineLvl w:val="2"/>
    </w:pPr>
    <w:rPr>
      <w:b w:val="0"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864" w:hanging="864"/>
      <w:jc w:val="left"/>
      <w:outlineLvl w:val="3"/>
    </w:pPr>
    <w:rPr>
      <w:rFonts w:ascii="Calibri Light" w:eastAsia="MS Gothic" w:hAnsi="Calibri Light" w:cs="Times New Roman"/>
      <w:i/>
      <w:iCs/>
      <w:color w:val="2E74B5"/>
      <w:sz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008" w:hanging="1008"/>
      <w:jc w:val="left"/>
      <w:outlineLvl w:val="4"/>
    </w:pPr>
    <w:rPr>
      <w:rFonts w:ascii="Calibri Light" w:eastAsia="MS Gothic" w:hAnsi="Calibri Light" w:cs="Times New Roman"/>
      <w:color w:val="2E74B5"/>
      <w:sz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152" w:hanging="1152"/>
      <w:jc w:val="left"/>
      <w:outlineLvl w:val="5"/>
    </w:pPr>
    <w:rPr>
      <w:rFonts w:ascii="Calibri Light" w:eastAsia="MS Gothic" w:hAnsi="Calibri Light" w:cs="Times New Roman"/>
      <w:color w:val="1F4D78"/>
      <w:sz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296" w:hanging="1296"/>
      <w:jc w:val="left"/>
      <w:outlineLvl w:val="6"/>
    </w:pPr>
    <w:rPr>
      <w:rFonts w:ascii="Calibri Light" w:eastAsia="MS Gothic" w:hAnsi="Calibri Light" w:cs="Times New Roman"/>
      <w:i/>
      <w:iCs/>
      <w:color w:val="1F4D78"/>
      <w:sz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440" w:hanging="1440"/>
      <w:jc w:val="left"/>
      <w:outlineLvl w:val="7"/>
    </w:pPr>
    <w:rPr>
      <w:rFonts w:ascii="Calibri Light" w:eastAsia="MS Gothic" w:hAnsi="Calibri Light" w:cs="Times New Roman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584" w:hanging="1584"/>
      <w:jc w:val="left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,Conclusion de partie,_Odstavec se seznamem,Seznam - odrážky,Fiche List Paragraph,List Paragraph (Czech Tourism),Název grafu,nad 1,Odstavec se seznamem2,List Paragraph"/>
    <w:basedOn w:val="Normln"/>
    <w:link w:val="OdstavecseseznamemChar"/>
    <w:uiPriority w:val="34"/>
    <w:qFormat/>
    <w:rsid w:val="00367183"/>
  </w:style>
  <w:style w:type="paragraph" w:styleId="Textbubliny">
    <w:name w:val="Balloon Text"/>
    <w:basedOn w:val="Normln"/>
    <w:link w:val="TextbublinyChar"/>
    <w:uiPriority w:val="99"/>
    <w:semiHidden/>
    <w:unhideWhenUsed/>
    <w:rsid w:val="00C026D5"/>
    <w:pPr>
      <w:spacing w:after="0" w:line="240" w:lineRule="auto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6D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E210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105E"/>
    <w:pPr>
      <w:spacing w:after="200" w:line="24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105E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Conclusion de partie Char,_Odstavec se seznamem Char,Seznam - odrážky Char,Fiche List Paragraph Char,List Paragraph (Czech Tourism) Char"/>
    <w:link w:val="Odstavecseseznamem"/>
    <w:uiPriority w:val="34"/>
    <w:qFormat/>
    <w:locked/>
    <w:rsid w:val="00367183"/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OM-nadpis1">
    <w:name w:val="OM - nadpis 1"/>
    <w:basedOn w:val="Normln"/>
    <w:next w:val="Normln"/>
    <w:uiPriority w:val="99"/>
    <w:qFormat/>
    <w:rsid w:val="00E2105E"/>
    <w:pPr>
      <w:pageBreakBefore/>
      <w:numPr>
        <w:numId w:val="2"/>
      </w:numPr>
      <w:spacing w:before="360" w:after="3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M-nadpis2">
    <w:name w:val="OM - nadpis 2"/>
    <w:basedOn w:val="Normln"/>
    <w:next w:val="Normln"/>
    <w:uiPriority w:val="99"/>
    <w:qFormat/>
    <w:rsid w:val="00E2105E"/>
    <w:pPr>
      <w:numPr>
        <w:ilvl w:val="1"/>
        <w:numId w:val="2"/>
      </w:numPr>
      <w:spacing w:before="240" w:after="240" w:line="240" w:lineRule="auto"/>
    </w:pPr>
    <w:rPr>
      <w:rFonts w:ascii="Arial" w:eastAsia="Times New Roman" w:hAnsi="Arial" w:cs="Arial"/>
      <w:b/>
      <w:bCs/>
    </w:rPr>
  </w:style>
  <w:style w:type="paragraph" w:customStyle="1" w:styleId="OM-nadpis4">
    <w:name w:val="OM - nadpis 4"/>
    <w:basedOn w:val="Normln"/>
    <w:next w:val="Normln"/>
    <w:uiPriority w:val="99"/>
    <w:qFormat/>
    <w:rsid w:val="00E2105E"/>
    <w:pPr>
      <w:numPr>
        <w:ilvl w:val="3"/>
        <w:numId w:val="2"/>
      </w:numPr>
      <w:spacing w:line="240" w:lineRule="auto"/>
      <w:outlineLvl w:val="3"/>
    </w:pPr>
    <w:rPr>
      <w:rFonts w:ascii="Arial" w:eastAsia="Times New Roman" w:hAnsi="Arial" w:cs="Arial"/>
      <w:b/>
      <w:bCs/>
    </w:rPr>
  </w:style>
  <w:style w:type="paragraph" w:customStyle="1" w:styleId="OM-napdis3">
    <w:name w:val="OM - napdis 3"/>
    <w:basedOn w:val="Normln"/>
    <w:next w:val="Normln"/>
    <w:uiPriority w:val="99"/>
    <w:qFormat/>
    <w:rsid w:val="00E2105E"/>
    <w:pPr>
      <w:numPr>
        <w:ilvl w:val="2"/>
        <w:numId w:val="2"/>
      </w:numPr>
      <w:spacing w:before="120" w:line="240" w:lineRule="auto"/>
    </w:pPr>
    <w:rPr>
      <w:rFonts w:ascii="Arial" w:eastAsia="Times New Roman" w:hAnsi="Arial" w:cs="Arial"/>
      <w:b/>
      <w:bCs/>
      <w:i/>
      <w:iCs/>
    </w:rPr>
  </w:style>
  <w:style w:type="paragraph" w:customStyle="1" w:styleId="OM-nadpis5">
    <w:name w:val="OM - nadpis 5"/>
    <w:basedOn w:val="Normln"/>
    <w:next w:val="Normln"/>
    <w:link w:val="OM-nadpis5Char"/>
    <w:uiPriority w:val="99"/>
    <w:qFormat/>
    <w:rsid w:val="00E2105E"/>
    <w:pPr>
      <w:numPr>
        <w:ilvl w:val="4"/>
        <w:numId w:val="2"/>
      </w:numPr>
      <w:spacing w:line="240" w:lineRule="auto"/>
    </w:pPr>
    <w:rPr>
      <w:rFonts w:ascii="Arial" w:eastAsia="Times New Roman" w:hAnsi="Arial" w:cs="Arial"/>
      <w:i/>
      <w:iCs/>
    </w:rPr>
  </w:style>
  <w:style w:type="paragraph" w:customStyle="1" w:styleId="OM-nadpis6">
    <w:name w:val="OM - nadpis 6"/>
    <w:basedOn w:val="Normln"/>
    <w:next w:val="Normln"/>
    <w:uiPriority w:val="99"/>
    <w:qFormat/>
    <w:rsid w:val="00E2105E"/>
    <w:pPr>
      <w:numPr>
        <w:ilvl w:val="5"/>
        <w:numId w:val="2"/>
      </w:numPr>
      <w:spacing w:line="240" w:lineRule="auto"/>
      <w:ind w:left="1152"/>
    </w:pPr>
    <w:rPr>
      <w:rFonts w:ascii="Arial" w:eastAsia="Times New Roman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062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062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OM-nadpis5Char">
    <w:name w:val="OM - nadpis 5 Char"/>
    <w:link w:val="OM-nadpis5"/>
    <w:uiPriority w:val="99"/>
    <w:locked/>
    <w:rsid w:val="00D4382E"/>
    <w:rPr>
      <w:rFonts w:ascii="Arial" w:eastAsia="Times New Roman" w:hAnsi="Arial" w:cs="Arial"/>
      <w:i/>
      <w:iCs/>
      <w:color w:val="404040" w:themeColor="text1" w:themeTint="BF"/>
      <w:sz w:val="20"/>
      <w:szCs w:val="20"/>
    </w:rPr>
  </w:style>
  <w:style w:type="character" w:styleId="Hypertextovodkaz">
    <w:name w:val="Hyperlink"/>
    <w:basedOn w:val="Standardnpsmoodstavce"/>
    <w:uiPriority w:val="99"/>
    <w:rsid w:val="00A35720"/>
    <w:rPr>
      <w:color w:val="0000FF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6A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F6AA4"/>
    <w:rPr>
      <w:rFonts w:eastAsiaTheme="minorEastAsia"/>
      <w:color w:val="5A5A5A" w:themeColor="text1" w:themeTint="A5"/>
      <w:spacing w:val="15"/>
    </w:rPr>
  </w:style>
  <w:style w:type="character" w:customStyle="1" w:styleId="Nadpis2Char">
    <w:name w:val="Nadpis 2 Char"/>
    <w:basedOn w:val="Standardnpsmoodstavce"/>
    <w:link w:val="Nadpis2"/>
    <w:uiPriority w:val="9"/>
    <w:rsid w:val="009E447A"/>
    <w:rPr>
      <w:rFonts w:ascii="Segoe UI" w:hAnsi="Segoe UI" w:cs="Segoe UI"/>
      <w:b/>
      <w:color w:val="1F4E79" w:themeColor="accent1" w:themeShade="8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E447A"/>
    <w:rPr>
      <w:rFonts w:ascii="Segoe UI" w:hAnsi="Segoe UI" w:cs="Segoe UI"/>
      <w:b/>
      <w:color w:val="1F4E79" w:themeColor="accent1" w:themeShade="80"/>
      <w:sz w:val="28"/>
      <w:szCs w:val="28"/>
    </w:rPr>
  </w:style>
  <w:style w:type="paragraph" w:styleId="Revize">
    <w:name w:val="Revision"/>
    <w:hidden/>
    <w:uiPriority w:val="99"/>
    <w:semiHidden/>
    <w:rsid w:val="00773E22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ootnote,Podrozdzia3,Podrozdział,Schriftart: 10 pt,Schriftart: 8 pt,Schriftart: 9 pt,pozn. pod čarou,Text poznámky pod čiarou 007"/>
    <w:basedOn w:val="Normln"/>
    <w:link w:val="TextpoznpodarouChar"/>
    <w:uiPriority w:val="99"/>
    <w:unhideWhenUsed/>
    <w:rsid w:val="0028732C"/>
    <w:pPr>
      <w:spacing w:after="0" w:line="240" w:lineRule="auto"/>
    </w:p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Text poznámky pod čiarou 007 Char"/>
    <w:basedOn w:val="Standardnpsmoodstavce"/>
    <w:link w:val="Textpoznpodarou"/>
    <w:uiPriority w:val="99"/>
    <w:rsid w:val="0028732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8732C"/>
    <w:rPr>
      <w:vertAlign w:val="superscript"/>
    </w:rPr>
  </w:style>
  <w:style w:type="table" w:customStyle="1" w:styleId="Prosttabulka41">
    <w:name w:val="Prostá tabulka 41"/>
    <w:basedOn w:val="Normlntabulka"/>
    <w:uiPriority w:val="44"/>
    <w:rsid w:val="006013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Odrkya">
    <w:name w:val="Odrážky_a)"/>
    <w:basedOn w:val="Odstavecseseznamem"/>
    <w:next w:val="Normln"/>
    <w:link w:val="OdrkyaChar"/>
    <w:uiPriority w:val="99"/>
    <w:rsid w:val="00A57E7A"/>
    <w:p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aChar">
    <w:name w:val="Odrážky_a) Char"/>
    <w:link w:val="Odrkya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1">
    <w:name w:val="Odrážky_1)"/>
    <w:basedOn w:val="Odrkya"/>
    <w:link w:val="Odrky1Char"/>
    <w:uiPriority w:val="99"/>
    <w:rsid w:val="00A57E7A"/>
    <w:pPr>
      <w:numPr>
        <w:numId w:val="5"/>
      </w:numPr>
    </w:pPr>
  </w:style>
  <w:style w:type="character" w:customStyle="1" w:styleId="Odrky1Char">
    <w:name w:val="Odrážky_1) Char"/>
    <w:link w:val="Odrky1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rsid w:val="00A57E7A"/>
    <w:pPr>
      <w:numPr>
        <w:numId w:val="3"/>
      </w:num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bodChar">
    <w:name w:val="Odrážky_bod Char"/>
    <w:link w:val="Odrkybod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rsid w:val="00A57E7A"/>
    <w:pPr>
      <w:numPr>
        <w:ilvl w:val="1"/>
      </w:numPr>
    </w:pPr>
  </w:style>
  <w:style w:type="paragraph" w:customStyle="1" w:styleId="Odrky10">
    <w:name w:val="Odrážky_1)_0ř"/>
    <w:basedOn w:val="Odrky1"/>
    <w:next w:val="Normln"/>
    <w:link w:val="Odrky10Char"/>
    <w:uiPriority w:val="99"/>
    <w:rsid w:val="00A57E7A"/>
    <w:pPr>
      <w:numPr>
        <w:numId w:val="4"/>
      </w:numPr>
      <w:spacing w:line="240" w:lineRule="auto"/>
      <w:ind w:left="928"/>
    </w:pPr>
  </w:style>
  <w:style w:type="character" w:customStyle="1" w:styleId="Odrky10Char">
    <w:name w:val="Odrážky_1)_0ř Char"/>
    <w:link w:val="Odrky10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2397"/>
  </w:style>
  <w:style w:type="paragraph" w:styleId="Zpat">
    <w:name w:val="footer"/>
    <w:basedOn w:val="Normln"/>
    <w:link w:val="Zpat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2397"/>
  </w:style>
  <w:style w:type="paragraph" w:styleId="Nzev">
    <w:name w:val="Title"/>
    <w:basedOn w:val="Normln"/>
    <w:next w:val="Normln"/>
    <w:link w:val="NzevChar"/>
    <w:uiPriority w:val="10"/>
    <w:qFormat/>
    <w:rsid w:val="0049512A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/>
      <w:jc w:val="center"/>
    </w:pPr>
    <w:rPr>
      <w:b/>
      <w:color w:val="1F4E79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9512A"/>
    <w:rPr>
      <w:rFonts w:ascii="Segoe UI" w:hAnsi="Segoe UI" w:cs="Segoe UI"/>
      <w:b/>
      <w:color w:val="1F4E79" w:themeColor="accent1" w:themeShade="80"/>
      <w:sz w:val="48"/>
      <w:szCs w:val="48"/>
      <w:shd w:val="clear" w:color="auto" w:fill="F2F2F2" w:themeFill="background1" w:themeFillShade="F2"/>
    </w:rPr>
  </w:style>
  <w:style w:type="numbering" w:customStyle="1" w:styleId="Seznam-rovovneslovan">
    <w:name w:val="Seznam - úrovňový nečíslovaný"/>
    <w:uiPriority w:val="99"/>
    <w:rsid w:val="0072518E"/>
    <w:pPr>
      <w:numPr>
        <w:numId w:val="6"/>
      </w:numPr>
    </w:pPr>
  </w:style>
  <w:style w:type="numbering" w:customStyle="1" w:styleId="Seznam-neslovan">
    <w:name w:val="Seznam - nečíslovaný"/>
    <w:uiPriority w:val="99"/>
    <w:rsid w:val="0072518E"/>
    <w:pPr>
      <w:numPr>
        <w:numId w:val="7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367183"/>
    <w:rPr>
      <w:rFonts w:ascii="Segoe UI" w:hAnsi="Segoe UI" w:cs="Segoe UI"/>
      <w:bCs/>
      <w:color w:val="1F4E79" w:themeColor="accent1" w:themeShade="8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7253"/>
    <w:pPr>
      <w:spacing w:after="0"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7253"/>
    <w:rPr>
      <w:rFonts w:ascii="Segoe UI" w:hAnsi="Segoe UI" w:cs="Segoe UI"/>
      <w:color w:val="404040" w:themeColor="text1" w:themeTint="BF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7253"/>
    <w:rPr>
      <w:vertAlign w:val="superscript"/>
    </w:rPr>
  </w:style>
  <w:style w:type="character" w:customStyle="1" w:styleId="h1a">
    <w:name w:val="h1a"/>
    <w:basedOn w:val="Standardnpsmoodstavce"/>
    <w:rsid w:val="00E254E1"/>
  </w:style>
  <w:style w:type="paragraph" w:styleId="Bezmezer">
    <w:name w:val="No Spacing"/>
    <w:uiPriority w:val="1"/>
    <w:qFormat/>
    <w:rsid w:val="00D02140"/>
    <w:pPr>
      <w:spacing w:after="0" w:line="240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Default">
    <w:name w:val="Default"/>
    <w:rsid w:val="00FC4D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ITULEKVZVY">
    <w:name w:val="TITULEK VÝZVY"/>
    <w:basedOn w:val="Normln"/>
    <w:link w:val="TITULEKVZVYChar"/>
    <w:qFormat/>
    <w:rsid w:val="00EA353E"/>
    <w:pPr>
      <w:spacing w:after="360"/>
      <w:contextualSpacing/>
      <w:jc w:val="left"/>
    </w:pPr>
    <w:rPr>
      <w:rFonts w:eastAsia="Calibr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EA353E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EA353E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EA353E"/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7B5B"/>
    <w:rPr>
      <w:rFonts w:ascii="Calibri Light" w:eastAsia="MS Gothic" w:hAnsi="Calibri Light" w:cs="Times New Roman"/>
      <w:i/>
      <w:iCs/>
      <w:color w:val="2E74B5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07B5B"/>
    <w:rPr>
      <w:rFonts w:ascii="Calibri Light" w:eastAsia="MS Gothic" w:hAnsi="Calibri Light" w:cs="Times New Roman"/>
      <w:color w:val="2E74B5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7B5B"/>
    <w:rPr>
      <w:rFonts w:ascii="Calibri Light" w:eastAsia="MS Gothic" w:hAnsi="Calibri Light" w:cs="Times New Roman"/>
      <w:color w:val="1F4D78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7B5B"/>
    <w:rPr>
      <w:rFonts w:ascii="Calibri Light" w:eastAsia="MS Gothic" w:hAnsi="Calibri Light" w:cs="Times New Roman"/>
      <w:i/>
      <w:iCs/>
      <w:color w:val="1F4D78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7B5B"/>
    <w:rPr>
      <w:rFonts w:ascii="Calibri Light" w:eastAsia="MS Gothic" w:hAnsi="Calibri Light" w:cs="Times New Roman"/>
      <w:color w:val="272727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7B5B"/>
    <w:rPr>
      <w:rFonts w:ascii="Calibri Light" w:eastAsia="MS Gothic" w:hAnsi="Calibri Light" w:cs="Times New Roman"/>
      <w:i/>
      <w:iCs/>
      <w:color w:val="272727"/>
      <w:sz w:val="21"/>
      <w:szCs w:val="2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07B5B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009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00906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y2iqfc">
    <w:name w:val="y2iqfc"/>
    <w:basedOn w:val="Standardnpsmoodstavce"/>
    <w:rsid w:val="00200906"/>
  </w:style>
  <w:style w:type="paragraph" w:styleId="Citt">
    <w:name w:val="Quote"/>
    <w:basedOn w:val="Normln"/>
    <w:next w:val="Normln"/>
    <w:link w:val="CittChar"/>
    <w:uiPriority w:val="29"/>
    <w:qFormat/>
    <w:rsid w:val="008625C3"/>
    <w:pPr>
      <w:spacing w:before="200" w:after="160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625C3"/>
    <w:rPr>
      <w:rFonts w:ascii="Segoe UI" w:hAnsi="Segoe UI" w:cs="Segoe UI"/>
      <w:i/>
      <w:iCs/>
      <w:color w:val="404040" w:themeColor="text1" w:themeTint="BF"/>
      <w:sz w:val="20"/>
      <w:szCs w:val="20"/>
    </w:rPr>
  </w:style>
  <w:style w:type="paragraph" w:customStyle="1" w:styleId="Zkladnodstavec">
    <w:name w:val="[Základní odstavec]"/>
    <w:basedOn w:val="Normln"/>
    <w:link w:val="ZkladnodstavecChar"/>
    <w:uiPriority w:val="99"/>
    <w:rsid w:val="00451C1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vodka">
    <w:name w:val="úvodka"/>
    <w:basedOn w:val="Zkladnodstavec"/>
    <w:link w:val="vodkaChar"/>
    <w:qFormat/>
    <w:rsid w:val="00451C17"/>
    <w:pPr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ZkladnodstavecChar">
    <w:name w:val="[Základní odstavec] Char"/>
    <w:basedOn w:val="Standardnpsmoodstavce"/>
    <w:link w:val="Zkladnodstavec"/>
    <w:uiPriority w:val="99"/>
    <w:rsid w:val="00451C17"/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vodkaChar">
    <w:name w:val="úvodka Char"/>
    <w:basedOn w:val="ZkladnodstavecChar"/>
    <w:link w:val="vodka"/>
    <w:rsid w:val="00451C17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053F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053FFE"/>
    <w:pPr>
      <w:widowControl w:val="0"/>
      <w:autoSpaceDE w:val="0"/>
      <w:autoSpaceDN w:val="0"/>
      <w:spacing w:after="0" w:line="240" w:lineRule="auto"/>
      <w:ind w:left="121"/>
      <w:jc w:val="left"/>
    </w:pPr>
    <w:rPr>
      <w:rFonts w:ascii="Calibri" w:eastAsia="Calibri" w:hAnsi="Calibri" w:cs="Calibri"/>
      <w:color w:val="auto"/>
      <w:sz w:val="22"/>
      <w:szCs w:val="22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66AE0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76A6A"/>
    <w:pPr>
      <w:tabs>
        <w:tab w:val="left" w:pos="400"/>
        <w:tab w:val="right" w:leader="dot" w:pos="9060"/>
      </w:tabs>
      <w:spacing w:after="100"/>
    </w:pPr>
    <w:rPr>
      <w:rFonts w:asciiTheme="minorHAnsi" w:hAnsiTheme="minorHAnsi" w:cstheme="minorHAnsi"/>
      <w:noProof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DC6537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45D48-7A1C-4B3E-8AB6-3B55EB64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3079</Words>
  <Characters>18172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hana.truncova@mpsv.cz</dc:creator>
  <cp:keywords/>
  <dc:description/>
  <cp:lastModifiedBy>Gavlasová Kateřina Mgr. (MPSV)</cp:lastModifiedBy>
  <cp:revision>7</cp:revision>
  <cp:lastPrinted>2022-06-30T08:25:00Z</cp:lastPrinted>
  <dcterms:created xsi:type="dcterms:W3CDTF">2022-06-29T10:00:00Z</dcterms:created>
  <dcterms:modified xsi:type="dcterms:W3CDTF">2022-06-30T08:26:00Z</dcterms:modified>
</cp:coreProperties>
</file>