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D2B9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A17EBA9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52B86DD0" w14:textId="776856C7" w:rsidR="002B57AB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78D5FB36" w14:textId="44134E9D" w:rsidR="002338F0" w:rsidRDefault="002338F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33BBAA96" w14:textId="418C1642" w:rsidR="002338F0" w:rsidRDefault="002338F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363EACAE" w14:textId="77777777" w:rsidR="002338F0" w:rsidRPr="00334B09" w:rsidRDefault="002338F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8599FFB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715B045F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4BC3A673" w14:textId="77777777" w:rsidR="009447B4" w:rsidRPr="00334B09" w:rsidRDefault="009447B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2BD56005" w14:textId="77777777" w:rsidR="004621C0" w:rsidRPr="00334B0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50D6D477" w14:textId="53968110" w:rsidR="008F09FF" w:rsidRDefault="008F09FF" w:rsidP="009447B4">
      <w:pPr>
        <w:spacing w:line="480" w:lineRule="auto"/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>
        <w:rPr>
          <w:rFonts w:asciiTheme="minorHAnsi" w:hAnsiTheme="minorHAnsi"/>
          <w:b/>
          <w:i/>
          <w:smallCaps/>
          <w:color w:val="1F497D"/>
          <w:sz w:val="44"/>
          <w:szCs w:val="36"/>
        </w:rPr>
        <w:t>Zpráva o základních tendencích</w:t>
      </w:r>
    </w:p>
    <w:p w14:paraId="40CA3D72" w14:textId="36795E82" w:rsidR="008F09FF" w:rsidRDefault="008F09FF" w:rsidP="009447B4">
      <w:pPr>
        <w:spacing w:line="480" w:lineRule="auto"/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>
        <w:rPr>
          <w:rFonts w:asciiTheme="minorHAnsi" w:hAnsiTheme="minorHAnsi"/>
          <w:b/>
          <w:i/>
          <w:smallCaps/>
          <w:color w:val="1F497D"/>
          <w:sz w:val="44"/>
          <w:szCs w:val="36"/>
        </w:rPr>
        <w:t xml:space="preserve">příjmové a výdajové situace domácností </w:t>
      </w:r>
      <w:r w:rsidR="00E15CAD">
        <w:rPr>
          <w:rFonts w:asciiTheme="minorHAnsi" w:hAnsiTheme="minorHAnsi"/>
          <w:b/>
          <w:i/>
          <w:smallCaps/>
          <w:color w:val="1F497D"/>
          <w:sz w:val="44"/>
          <w:szCs w:val="36"/>
        </w:rPr>
        <w:t>ČR</w:t>
      </w:r>
      <w:r>
        <w:rPr>
          <w:rFonts w:asciiTheme="minorHAnsi" w:hAnsiTheme="minorHAnsi"/>
          <w:b/>
          <w:i/>
          <w:smallCaps/>
          <w:color w:val="1F497D"/>
          <w:sz w:val="44"/>
          <w:szCs w:val="36"/>
        </w:rPr>
        <w:t xml:space="preserve"> </w:t>
      </w:r>
    </w:p>
    <w:p w14:paraId="4C1693F4" w14:textId="314F39C0" w:rsidR="009447B4" w:rsidRPr="00710980" w:rsidRDefault="008F09FF" w:rsidP="009447B4">
      <w:pPr>
        <w:spacing w:line="480" w:lineRule="auto"/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>
        <w:rPr>
          <w:rFonts w:asciiTheme="minorHAnsi" w:hAnsiTheme="minorHAnsi"/>
          <w:b/>
          <w:i/>
          <w:smallCaps/>
          <w:color w:val="1F497D"/>
          <w:sz w:val="44"/>
          <w:szCs w:val="36"/>
        </w:rPr>
        <w:t>v 1. čtvrtletí 202</w:t>
      </w:r>
      <w:r w:rsidR="000150A7">
        <w:rPr>
          <w:rFonts w:asciiTheme="minorHAnsi" w:hAnsiTheme="minorHAnsi"/>
          <w:b/>
          <w:i/>
          <w:smallCaps/>
          <w:color w:val="1F497D"/>
          <w:sz w:val="44"/>
          <w:szCs w:val="36"/>
        </w:rPr>
        <w:t>2</w:t>
      </w:r>
    </w:p>
    <w:p w14:paraId="6748AAC4" w14:textId="77777777" w:rsidR="004621C0" w:rsidRPr="00710980" w:rsidRDefault="004621C0" w:rsidP="004621C0">
      <w:pPr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</w:p>
    <w:p w14:paraId="563EAF0F" w14:textId="77777777" w:rsidR="004268E2" w:rsidRPr="00735201" w:rsidRDefault="004268E2" w:rsidP="004268E2">
      <w:pPr>
        <w:rPr>
          <w:smallCaps/>
          <w:color w:val="365F91" w:themeColor="accent1" w:themeShade="BF"/>
          <w:sz w:val="28"/>
        </w:rPr>
      </w:pPr>
    </w:p>
    <w:p w14:paraId="3DCEA47F" w14:textId="1727F41C" w:rsidR="00586BE7" w:rsidRDefault="00586BE7">
      <w:r w:rsidRPr="005B0EE3">
        <w:br w:type="page"/>
      </w:r>
    </w:p>
    <w:p w14:paraId="30138593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77F83071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767494E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2073D854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173EE1B0" w14:textId="55896537" w:rsidR="008F09FF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12FCC839" w14:textId="1D736CB9" w:rsidR="00EA7C6E" w:rsidRDefault="00EA7C6E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701EC30E" w14:textId="77777777" w:rsidR="002338F0" w:rsidRPr="00334B09" w:rsidRDefault="002338F0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6264E83D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542E5B0E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1167FB56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5D21BE26" w14:textId="77777777" w:rsidR="008F09FF" w:rsidRPr="00710980" w:rsidRDefault="008F09FF" w:rsidP="008F09FF">
      <w:pPr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 w:rsidRPr="00710980">
        <w:rPr>
          <w:rFonts w:asciiTheme="minorHAnsi" w:hAnsiTheme="minorHAnsi"/>
          <w:b/>
          <w:i/>
          <w:smallCaps/>
          <w:color w:val="1F497D"/>
          <w:sz w:val="44"/>
          <w:szCs w:val="36"/>
        </w:rPr>
        <w:t>I.</w:t>
      </w:r>
    </w:p>
    <w:p w14:paraId="7288A293" w14:textId="77777777" w:rsidR="008F09FF" w:rsidRPr="00710980" w:rsidRDefault="008F09FF" w:rsidP="008F09FF">
      <w:pPr>
        <w:spacing w:line="360" w:lineRule="auto"/>
        <w:jc w:val="center"/>
        <w:rPr>
          <w:rFonts w:asciiTheme="minorHAnsi" w:hAnsiTheme="minorHAnsi"/>
          <w:b/>
          <w:smallCaps/>
          <w:color w:val="1F497D"/>
          <w:sz w:val="44"/>
          <w:szCs w:val="36"/>
        </w:rPr>
      </w:pPr>
    </w:p>
    <w:p w14:paraId="74FEC9B8" w14:textId="0F6E4664" w:rsidR="008F09FF" w:rsidRPr="00710980" w:rsidRDefault="008F09FF" w:rsidP="008F09FF">
      <w:pPr>
        <w:spacing w:line="480" w:lineRule="auto"/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>
        <w:rPr>
          <w:rFonts w:asciiTheme="minorHAnsi" w:hAnsiTheme="minorHAnsi"/>
          <w:b/>
          <w:i/>
          <w:smallCaps/>
          <w:color w:val="1F497D"/>
          <w:sz w:val="44"/>
          <w:szCs w:val="36"/>
        </w:rPr>
        <w:t>Textová část</w:t>
      </w:r>
    </w:p>
    <w:p w14:paraId="6D8D9AAB" w14:textId="77777777" w:rsidR="008F09FF" w:rsidRPr="00710980" w:rsidRDefault="008F09FF" w:rsidP="008F09FF">
      <w:pPr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</w:p>
    <w:p w14:paraId="23DC044A" w14:textId="77777777" w:rsidR="008F09FF" w:rsidRPr="00735201" w:rsidRDefault="008F09FF" w:rsidP="008F09FF">
      <w:pPr>
        <w:rPr>
          <w:smallCaps/>
          <w:color w:val="365F91" w:themeColor="accent1" w:themeShade="BF"/>
          <w:sz w:val="28"/>
        </w:rPr>
      </w:pPr>
    </w:p>
    <w:p w14:paraId="4A9D3EA8" w14:textId="77777777" w:rsidR="008F09FF" w:rsidRPr="005B0EE3" w:rsidRDefault="008F09FF" w:rsidP="008F09FF">
      <w:r w:rsidRPr="005B0EE3">
        <w:br w:type="page"/>
      </w:r>
    </w:p>
    <w:p w14:paraId="72CCA644" w14:textId="77777777" w:rsidR="008F09FF" w:rsidRPr="005B0EE3" w:rsidRDefault="008F09FF"/>
    <w:p w14:paraId="3B897201" w14:textId="77777777" w:rsidR="00DF1CED" w:rsidRPr="00710980" w:rsidRDefault="00DF1CED" w:rsidP="00DF1CED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mallCaps/>
          <w:color w:val="1F497D"/>
          <w:sz w:val="44"/>
        </w:rPr>
      </w:pPr>
      <w:r w:rsidRPr="00710980">
        <w:rPr>
          <w:rFonts w:asciiTheme="minorHAnsi" w:hAnsiTheme="minorHAnsi"/>
          <w:smallCaps/>
          <w:color w:val="1F497D"/>
          <w:sz w:val="44"/>
        </w:rPr>
        <w:t>Obsah</w:t>
      </w:r>
    </w:p>
    <w:p w14:paraId="22E77059" w14:textId="77777777" w:rsidR="00DF1CED" w:rsidRPr="00A539EE" w:rsidRDefault="00DF1CED" w:rsidP="00DF1CED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730BEEB6" w14:textId="77777777" w:rsidR="008F09FF" w:rsidRPr="00A539EE" w:rsidRDefault="008F09FF" w:rsidP="008F09FF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BD1AB50" w14:textId="77777777" w:rsidR="008F09FF" w:rsidRPr="00A539EE" w:rsidRDefault="008F09FF" w:rsidP="008F09FF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539EE">
        <w:rPr>
          <w:rFonts w:asciiTheme="minorHAnsi" w:hAnsiTheme="minorHAnsi"/>
          <w:sz w:val="26"/>
          <w:szCs w:val="26"/>
        </w:rPr>
        <w:tab/>
        <w:t>strana</w:t>
      </w:r>
    </w:p>
    <w:p w14:paraId="7A1A2D7D" w14:textId="77777777" w:rsidR="008F09FF" w:rsidRPr="00933D6E" w:rsidRDefault="008F09FF" w:rsidP="008F09FF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59501F40" w14:textId="77777777" w:rsidR="008F09FF" w:rsidRPr="00933D6E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933D6E">
        <w:rPr>
          <w:rFonts w:asciiTheme="minorHAnsi" w:hAnsiTheme="minorHAnsi"/>
          <w:b/>
          <w:bCs/>
          <w:sz w:val="26"/>
          <w:szCs w:val="26"/>
        </w:rPr>
        <w:t>Hlavní poznatky z analýzy</w:t>
      </w:r>
      <w:r w:rsidRPr="00933D6E">
        <w:rPr>
          <w:rFonts w:asciiTheme="minorHAnsi" w:hAnsiTheme="minorHAnsi"/>
          <w:sz w:val="26"/>
          <w:szCs w:val="26"/>
        </w:rPr>
        <w:tab/>
        <w:t xml:space="preserve">  1</w:t>
      </w:r>
    </w:p>
    <w:p w14:paraId="71CBCA6A" w14:textId="77777777" w:rsidR="008F09FF" w:rsidRPr="00933D6E" w:rsidRDefault="008F09FF" w:rsidP="008F09FF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221417D" w14:textId="77777777" w:rsidR="008F09FF" w:rsidRPr="00933D6E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933D6E">
        <w:rPr>
          <w:rFonts w:asciiTheme="minorHAnsi" w:hAnsiTheme="minorHAnsi"/>
          <w:b/>
          <w:bCs/>
          <w:sz w:val="26"/>
          <w:szCs w:val="26"/>
        </w:rPr>
        <w:t>1</w:t>
      </w:r>
      <w:r w:rsidRPr="00933D6E">
        <w:rPr>
          <w:rFonts w:asciiTheme="minorHAnsi" w:hAnsiTheme="minorHAnsi"/>
          <w:b/>
          <w:sz w:val="26"/>
          <w:szCs w:val="26"/>
        </w:rPr>
        <w:t>. Příjmy domácností</w:t>
      </w:r>
      <w:r w:rsidRPr="00933D6E">
        <w:rPr>
          <w:rFonts w:asciiTheme="minorHAnsi" w:hAnsiTheme="minorHAnsi"/>
          <w:sz w:val="26"/>
          <w:szCs w:val="26"/>
        </w:rPr>
        <w:tab/>
        <w:t xml:space="preserve">  4</w:t>
      </w:r>
    </w:p>
    <w:p w14:paraId="40DA315A" w14:textId="1AFCB5E6" w:rsidR="008F09FF" w:rsidRPr="00933D6E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933D6E">
        <w:rPr>
          <w:rFonts w:asciiTheme="minorHAnsi" w:hAnsiTheme="minorHAnsi"/>
          <w:i/>
          <w:sz w:val="26"/>
          <w:szCs w:val="26"/>
        </w:rPr>
        <w:tab/>
        <w:t>1.1</w:t>
      </w:r>
      <w:r w:rsidR="00FB30FC">
        <w:rPr>
          <w:rFonts w:asciiTheme="minorHAnsi" w:hAnsiTheme="minorHAnsi"/>
          <w:i/>
          <w:sz w:val="26"/>
          <w:szCs w:val="26"/>
        </w:rPr>
        <w:t>.</w:t>
      </w:r>
      <w:r w:rsidRPr="00933D6E">
        <w:rPr>
          <w:rFonts w:asciiTheme="minorHAnsi" w:hAnsiTheme="minorHAnsi"/>
          <w:i/>
          <w:sz w:val="26"/>
          <w:szCs w:val="26"/>
        </w:rPr>
        <w:t xml:space="preserve">   Základní charakteristika</w:t>
      </w:r>
      <w:r w:rsidRPr="00933D6E">
        <w:rPr>
          <w:rFonts w:asciiTheme="minorHAnsi" w:hAnsiTheme="minorHAnsi"/>
          <w:sz w:val="26"/>
          <w:szCs w:val="26"/>
        </w:rPr>
        <w:tab/>
        <w:t xml:space="preserve">  4</w:t>
      </w:r>
    </w:p>
    <w:p w14:paraId="0DA4147A" w14:textId="48F3FCB3" w:rsidR="008F09FF" w:rsidRPr="00933D6E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933D6E">
        <w:rPr>
          <w:rFonts w:asciiTheme="minorHAnsi" w:hAnsiTheme="minorHAnsi"/>
          <w:i/>
          <w:sz w:val="26"/>
          <w:szCs w:val="26"/>
        </w:rPr>
        <w:tab/>
        <w:t>1.2</w:t>
      </w:r>
      <w:r w:rsidR="00FB30FC">
        <w:rPr>
          <w:rFonts w:asciiTheme="minorHAnsi" w:hAnsiTheme="minorHAnsi"/>
          <w:i/>
          <w:sz w:val="26"/>
          <w:szCs w:val="26"/>
        </w:rPr>
        <w:t>.</w:t>
      </w:r>
      <w:r w:rsidRPr="00933D6E">
        <w:rPr>
          <w:rFonts w:asciiTheme="minorHAnsi" w:hAnsiTheme="minorHAnsi"/>
          <w:i/>
          <w:sz w:val="26"/>
          <w:szCs w:val="26"/>
        </w:rPr>
        <w:t xml:space="preserve">   Mzdy</w:t>
      </w:r>
      <w:r w:rsidRPr="00933D6E">
        <w:rPr>
          <w:rFonts w:asciiTheme="minorHAnsi" w:hAnsiTheme="minorHAnsi"/>
          <w:sz w:val="26"/>
          <w:szCs w:val="26"/>
        </w:rPr>
        <w:t xml:space="preserve"> </w:t>
      </w:r>
      <w:r w:rsidRPr="00933D6E">
        <w:rPr>
          <w:rFonts w:asciiTheme="minorHAnsi" w:hAnsiTheme="minorHAnsi"/>
          <w:sz w:val="26"/>
          <w:szCs w:val="26"/>
        </w:rPr>
        <w:tab/>
        <w:t xml:space="preserve">  5</w:t>
      </w:r>
    </w:p>
    <w:p w14:paraId="6AB24A6F" w14:textId="47637DD7" w:rsidR="008F09FF" w:rsidRPr="00933D6E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933D6E">
        <w:rPr>
          <w:rFonts w:asciiTheme="minorHAnsi" w:hAnsiTheme="minorHAnsi"/>
          <w:sz w:val="26"/>
          <w:szCs w:val="26"/>
        </w:rPr>
        <w:tab/>
      </w:r>
      <w:r w:rsidRPr="00933D6E">
        <w:rPr>
          <w:rFonts w:asciiTheme="minorHAnsi" w:hAnsiTheme="minorHAnsi"/>
          <w:i/>
          <w:sz w:val="26"/>
          <w:szCs w:val="26"/>
        </w:rPr>
        <w:t>1.3</w:t>
      </w:r>
      <w:r w:rsidR="00FB30FC">
        <w:rPr>
          <w:rFonts w:asciiTheme="minorHAnsi" w:hAnsiTheme="minorHAnsi"/>
          <w:i/>
          <w:sz w:val="26"/>
          <w:szCs w:val="26"/>
        </w:rPr>
        <w:t>.</w:t>
      </w:r>
      <w:r w:rsidRPr="00933D6E">
        <w:rPr>
          <w:rFonts w:asciiTheme="minorHAnsi" w:hAnsiTheme="minorHAnsi"/>
          <w:i/>
          <w:sz w:val="26"/>
          <w:szCs w:val="26"/>
        </w:rPr>
        <w:t xml:space="preserve">   Sociální příjmy</w:t>
      </w:r>
      <w:r w:rsidRPr="00933D6E">
        <w:rPr>
          <w:rFonts w:asciiTheme="minorHAnsi" w:hAnsiTheme="minorHAnsi"/>
          <w:sz w:val="26"/>
          <w:szCs w:val="26"/>
        </w:rPr>
        <w:tab/>
        <w:t xml:space="preserve"> 1</w:t>
      </w:r>
      <w:r w:rsidR="00FE47B0" w:rsidRPr="00933D6E">
        <w:rPr>
          <w:rFonts w:asciiTheme="minorHAnsi" w:hAnsiTheme="minorHAnsi"/>
          <w:sz w:val="26"/>
          <w:szCs w:val="26"/>
        </w:rPr>
        <w:t>1</w:t>
      </w:r>
    </w:p>
    <w:p w14:paraId="54DE746A" w14:textId="77777777" w:rsidR="008F09FF" w:rsidRPr="00933D6E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7524FC84" w14:textId="6CF4AD99" w:rsidR="008F09FF" w:rsidRPr="00933D6E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933D6E">
        <w:rPr>
          <w:rFonts w:asciiTheme="minorHAnsi" w:hAnsiTheme="minorHAnsi"/>
          <w:b/>
          <w:sz w:val="26"/>
          <w:szCs w:val="26"/>
        </w:rPr>
        <w:t>2. Spotřebitelské ceny a životní náklady</w:t>
      </w:r>
      <w:r w:rsidRPr="00933D6E">
        <w:rPr>
          <w:rFonts w:asciiTheme="minorHAnsi" w:hAnsiTheme="minorHAnsi"/>
          <w:sz w:val="26"/>
          <w:szCs w:val="26"/>
        </w:rPr>
        <w:tab/>
        <w:t xml:space="preserve"> 1</w:t>
      </w:r>
      <w:r w:rsidR="00FE47B0" w:rsidRPr="00933D6E">
        <w:rPr>
          <w:rFonts w:asciiTheme="minorHAnsi" w:hAnsiTheme="minorHAnsi"/>
          <w:sz w:val="26"/>
          <w:szCs w:val="26"/>
        </w:rPr>
        <w:t>6</w:t>
      </w:r>
    </w:p>
    <w:p w14:paraId="26F85761" w14:textId="77777777" w:rsidR="008F09FF" w:rsidRPr="00933D6E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03CEECB" w14:textId="61423CB7" w:rsidR="008F09FF" w:rsidRPr="00933D6E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933D6E">
        <w:rPr>
          <w:rFonts w:asciiTheme="minorHAnsi" w:hAnsiTheme="minorHAnsi"/>
          <w:b/>
          <w:sz w:val="26"/>
          <w:szCs w:val="26"/>
        </w:rPr>
        <w:t>3. Peněžní výdaje</w:t>
      </w:r>
      <w:r w:rsidR="00FB30FC">
        <w:rPr>
          <w:rFonts w:asciiTheme="minorHAnsi" w:hAnsiTheme="minorHAnsi"/>
          <w:b/>
          <w:sz w:val="26"/>
          <w:szCs w:val="26"/>
        </w:rPr>
        <w:t>, úvěry</w:t>
      </w:r>
      <w:r w:rsidRPr="00933D6E">
        <w:rPr>
          <w:rFonts w:asciiTheme="minorHAnsi" w:hAnsiTheme="minorHAnsi"/>
          <w:b/>
          <w:sz w:val="26"/>
          <w:szCs w:val="26"/>
        </w:rPr>
        <w:t xml:space="preserve"> a úspory domácností</w:t>
      </w:r>
      <w:r w:rsidRPr="00933D6E">
        <w:rPr>
          <w:rFonts w:asciiTheme="minorHAnsi" w:hAnsiTheme="minorHAnsi"/>
          <w:sz w:val="26"/>
          <w:szCs w:val="26"/>
        </w:rPr>
        <w:tab/>
        <w:t xml:space="preserve"> 1</w:t>
      </w:r>
      <w:r w:rsidR="009166A8" w:rsidRPr="00933D6E">
        <w:rPr>
          <w:rFonts w:asciiTheme="minorHAnsi" w:hAnsiTheme="minorHAnsi"/>
          <w:sz w:val="26"/>
          <w:szCs w:val="26"/>
        </w:rPr>
        <w:t>8</w:t>
      </w:r>
    </w:p>
    <w:p w14:paraId="23CDD3F6" w14:textId="77777777" w:rsidR="00DF1CED" w:rsidRPr="00933D6E" w:rsidRDefault="00DF1CED" w:rsidP="00DF1CED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407E31A0" w14:textId="77777777" w:rsidR="004268E2" w:rsidRPr="00933D6E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14:paraId="4442A9E1" w14:textId="77777777" w:rsidR="004268E2" w:rsidRPr="005B0EE3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sectPr w:rsidR="004268E2" w:rsidRPr="005B0EE3" w:rsidSect="00A11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14:paraId="5DC9D4BF" w14:textId="242914DE" w:rsidR="00A539EE" w:rsidRPr="00284A5C" w:rsidRDefault="00A539EE" w:rsidP="00AE5E5B">
      <w:pPr>
        <w:spacing w:after="360" w:line="360" w:lineRule="auto"/>
        <w:jc w:val="both"/>
        <w:rPr>
          <w:rFonts w:asciiTheme="minorHAnsi" w:hAnsiTheme="minorHAnsi"/>
          <w:b/>
          <w:smallCaps/>
          <w:color w:val="1F497D"/>
          <w:sz w:val="44"/>
          <w:szCs w:val="44"/>
        </w:rPr>
      </w:pPr>
      <w:r w:rsidRPr="00284A5C">
        <w:rPr>
          <w:rFonts w:asciiTheme="minorHAnsi" w:hAnsiTheme="minorHAnsi"/>
          <w:b/>
          <w:smallCaps/>
          <w:color w:val="1F497D"/>
          <w:sz w:val="44"/>
          <w:szCs w:val="44"/>
        </w:rPr>
        <w:lastRenderedPageBreak/>
        <w:t>Hlavní poznatky z analýzy</w:t>
      </w:r>
    </w:p>
    <w:p w14:paraId="2F11AF4B" w14:textId="4B90C55F" w:rsidR="00D510BB" w:rsidRDefault="00A539EE" w:rsidP="00D510BB">
      <w:pPr>
        <w:pStyle w:val="xmsonormal"/>
        <w:spacing w:after="240" w:afterAutospacing="0" w:line="360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863D46">
        <w:rPr>
          <w:rFonts w:ascii="Calibri" w:eastAsia="Calibri" w:hAnsi="Calibri" w:cs="Calibri"/>
          <w:sz w:val="26"/>
          <w:szCs w:val="26"/>
        </w:rPr>
        <w:tab/>
      </w:r>
      <w:r w:rsidR="00D510BB" w:rsidRPr="00D510BB">
        <w:rPr>
          <w:rFonts w:ascii="Calibri" w:hAnsi="Calibri" w:cs="Calibri"/>
          <w:b/>
          <w:bCs/>
          <w:sz w:val="26"/>
          <w:szCs w:val="26"/>
        </w:rPr>
        <w:t xml:space="preserve">Ekonomika </w:t>
      </w:r>
      <w:r w:rsidR="00D510BB" w:rsidRPr="00D510BB">
        <w:rPr>
          <w:rFonts w:ascii="Calibri" w:hAnsi="Calibri" w:cs="Calibri"/>
          <w:sz w:val="26"/>
          <w:szCs w:val="26"/>
        </w:rPr>
        <w:t>České republiky</w:t>
      </w:r>
      <w:r w:rsidR="00D510BB" w:rsidRPr="00D510BB">
        <w:rPr>
          <w:rFonts w:ascii="Calibri" w:hAnsi="Calibri" w:cs="Calibri"/>
          <w:b/>
          <w:bCs/>
          <w:sz w:val="26"/>
          <w:szCs w:val="26"/>
        </w:rPr>
        <w:t xml:space="preserve"> zejména vlivem nízké srovnávací základny</w:t>
      </w:r>
      <w:r w:rsidR="00D510BB" w:rsidRPr="00D510BB">
        <w:rPr>
          <w:rFonts w:ascii="Calibri" w:hAnsi="Calibri" w:cs="Calibri"/>
          <w:sz w:val="26"/>
          <w:szCs w:val="26"/>
        </w:rPr>
        <w:t xml:space="preserve"> (v loňském 1. čtvrtletí měly vliv restrikce v důsledku pandemických opatření) </w:t>
      </w:r>
      <w:r w:rsidR="00D510BB" w:rsidRPr="00D510BB">
        <w:rPr>
          <w:rFonts w:ascii="Calibri" w:hAnsi="Calibri" w:cs="Calibri"/>
          <w:b/>
          <w:bCs/>
          <w:sz w:val="26"/>
          <w:szCs w:val="26"/>
        </w:rPr>
        <w:t xml:space="preserve">zaznamenala </w:t>
      </w:r>
      <w:r w:rsidR="00D510BB" w:rsidRPr="00D510BB">
        <w:rPr>
          <w:rFonts w:ascii="Calibri" w:hAnsi="Calibri" w:cs="Calibri"/>
          <w:sz w:val="26"/>
          <w:szCs w:val="26"/>
        </w:rPr>
        <w:t xml:space="preserve">v 1. čtvrtletí 2022 meziroční </w:t>
      </w:r>
      <w:r w:rsidR="00D510BB" w:rsidRPr="00D510BB">
        <w:rPr>
          <w:rFonts w:ascii="Calibri" w:hAnsi="Calibri" w:cs="Calibri"/>
          <w:b/>
          <w:bCs/>
          <w:sz w:val="26"/>
          <w:szCs w:val="26"/>
        </w:rPr>
        <w:t>nárůst hrubého domácího produktu</w:t>
      </w:r>
      <w:r w:rsidR="00D510BB" w:rsidRPr="00D510BB">
        <w:rPr>
          <w:rFonts w:ascii="Calibri" w:hAnsi="Calibri" w:cs="Calibri"/>
          <w:sz w:val="26"/>
          <w:szCs w:val="26"/>
        </w:rPr>
        <w:t xml:space="preserve"> ve</w:t>
      </w:r>
      <w:r w:rsidR="005C1B62">
        <w:rPr>
          <w:rFonts w:ascii="Calibri" w:hAnsi="Calibri" w:cs="Calibri"/>
          <w:sz w:val="26"/>
          <w:szCs w:val="26"/>
        </w:rPr>
        <w:t> </w:t>
      </w:r>
      <w:r w:rsidR="00D510BB" w:rsidRPr="00D510BB">
        <w:rPr>
          <w:rFonts w:ascii="Calibri" w:hAnsi="Calibri" w:cs="Calibri"/>
          <w:sz w:val="26"/>
          <w:szCs w:val="26"/>
        </w:rPr>
        <w:t xml:space="preserve">stálých cenách. </w:t>
      </w:r>
      <w:r w:rsidR="00D510BB" w:rsidRPr="00D510BB">
        <w:rPr>
          <w:rFonts w:ascii="Calibri" w:hAnsi="Calibri" w:cs="Calibri"/>
          <w:b/>
          <w:bCs/>
          <w:sz w:val="26"/>
          <w:szCs w:val="26"/>
        </w:rPr>
        <w:t>Ve srovnání s průměrem Evropské unie</w:t>
      </w:r>
      <w:r w:rsidR="00D510BB" w:rsidRPr="00D510BB">
        <w:rPr>
          <w:rFonts w:ascii="Calibri" w:hAnsi="Calibri" w:cs="Calibri"/>
          <w:sz w:val="26"/>
          <w:szCs w:val="26"/>
        </w:rPr>
        <w:t xml:space="preserve"> (+5,6 %) </w:t>
      </w:r>
      <w:r w:rsidR="00D510BB" w:rsidRPr="00D510BB">
        <w:rPr>
          <w:rFonts w:ascii="Calibri" w:hAnsi="Calibri" w:cs="Calibri"/>
          <w:b/>
          <w:bCs/>
          <w:sz w:val="26"/>
          <w:szCs w:val="26"/>
        </w:rPr>
        <w:t>byl</w:t>
      </w:r>
      <w:r w:rsidR="00D510BB" w:rsidRPr="00D510BB">
        <w:rPr>
          <w:rFonts w:ascii="Calibri" w:hAnsi="Calibri" w:cs="Calibri"/>
          <w:sz w:val="26"/>
          <w:szCs w:val="26"/>
        </w:rPr>
        <w:t xml:space="preserve"> však meziroční ekonomický </w:t>
      </w:r>
      <w:r w:rsidR="00D510BB" w:rsidRPr="00D510BB">
        <w:rPr>
          <w:rFonts w:ascii="Calibri" w:hAnsi="Calibri" w:cs="Calibri"/>
          <w:b/>
          <w:bCs/>
          <w:sz w:val="26"/>
          <w:szCs w:val="26"/>
        </w:rPr>
        <w:t>růst nižší.</w:t>
      </w:r>
    </w:p>
    <w:p w14:paraId="547EAE48" w14:textId="3C6D0844" w:rsidR="00D510BB" w:rsidRPr="00D510BB" w:rsidRDefault="00D510BB" w:rsidP="00D510BB">
      <w:pPr>
        <w:pStyle w:val="xmsonormal"/>
        <w:spacing w:after="240" w:afterAutospacing="0"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ab/>
      </w:r>
      <w:r w:rsidRPr="00D510BB">
        <w:rPr>
          <w:rFonts w:ascii="Calibri" w:hAnsi="Calibri" w:cs="Calibri"/>
          <w:b/>
          <w:bCs/>
          <w:sz w:val="26"/>
          <w:szCs w:val="26"/>
        </w:rPr>
        <w:t>Hrubý domácí produkt se meziročně zvýšil</w:t>
      </w:r>
      <w:r w:rsidRPr="00D510BB">
        <w:rPr>
          <w:rFonts w:ascii="Calibri" w:hAnsi="Calibri" w:cs="Calibri"/>
          <w:sz w:val="26"/>
          <w:szCs w:val="26"/>
        </w:rPr>
        <w:t xml:space="preserve"> ve stálých cenách </w:t>
      </w:r>
      <w:r w:rsidRPr="00D510BB">
        <w:rPr>
          <w:rFonts w:ascii="Calibri" w:hAnsi="Calibri" w:cs="Calibri"/>
          <w:b/>
          <w:bCs/>
          <w:sz w:val="26"/>
          <w:szCs w:val="26"/>
        </w:rPr>
        <w:t>o 4,9 % a ve</w:t>
      </w:r>
      <w:r w:rsidR="005C1B62">
        <w:rPr>
          <w:rFonts w:ascii="Calibri" w:hAnsi="Calibri" w:cs="Calibri"/>
          <w:b/>
          <w:bCs/>
          <w:sz w:val="26"/>
          <w:szCs w:val="26"/>
        </w:rPr>
        <w:t> </w:t>
      </w:r>
      <w:r w:rsidRPr="00D510BB">
        <w:rPr>
          <w:rFonts w:ascii="Calibri" w:hAnsi="Calibri" w:cs="Calibri"/>
          <w:b/>
          <w:bCs/>
          <w:sz w:val="26"/>
          <w:szCs w:val="26"/>
        </w:rPr>
        <w:t>srovnání se 4. čtvrtletím 2021 došlo k růstu o 0,9 %.</w:t>
      </w:r>
      <w:r w:rsidRPr="00D510BB">
        <w:rPr>
          <w:rFonts w:ascii="Calibri" w:hAnsi="Calibri" w:cs="Calibri"/>
          <w:sz w:val="26"/>
          <w:szCs w:val="26"/>
        </w:rPr>
        <w:t xml:space="preserve"> Na hospodářském vzestupu se největší měrou podílela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spotřeba domácností </w:t>
      </w:r>
      <w:r w:rsidRPr="00D510BB">
        <w:rPr>
          <w:rFonts w:ascii="Calibri" w:hAnsi="Calibri" w:cs="Calibri"/>
          <w:sz w:val="26"/>
          <w:szCs w:val="26"/>
        </w:rPr>
        <w:t xml:space="preserve">(meziroční nárůst o 7,3 %) </w:t>
      </w:r>
      <w:r w:rsidRPr="00D510BB">
        <w:rPr>
          <w:rFonts w:ascii="Calibri" w:hAnsi="Calibri" w:cs="Calibri"/>
          <w:b/>
          <w:bCs/>
          <w:sz w:val="26"/>
          <w:szCs w:val="26"/>
        </w:rPr>
        <w:t>a</w:t>
      </w:r>
      <w:r w:rsidRPr="00D510BB">
        <w:rPr>
          <w:rFonts w:ascii="Calibri" w:hAnsi="Calibri" w:cs="Calibri"/>
          <w:sz w:val="26"/>
          <w:szCs w:val="26"/>
        </w:rPr>
        <w:t xml:space="preserve"> </w:t>
      </w:r>
      <w:r w:rsidRPr="00D510BB">
        <w:rPr>
          <w:rFonts w:ascii="Calibri" w:hAnsi="Calibri" w:cs="Calibri"/>
          <w:b/>
          <w:bCs/>
          <w:sz w:val="26"/>
          <w:szCs w:val="26"/>
        </w:rPr>
        <w:t>tvorba hrubého fixního kapitálu</w:t>
      </w:r>
      <w:r w:rsidRPr="00D510BB">
        <w:rPr>
          <w:rFonts w:ascii="Calibri" w:hAnsi="Calibri" w:cs="Calibri"/>
          <w:sz w:val="26"/>
          <w:szCs w:val="26"/>
        </w:rPr>
        <w:t xml:space="preserve"> (zvýšení o 6,8 %). Větší zvýšení ekonomiky tlumil </w:t>
      </w:r>
      <w:r w:rsidRPr="00D510BB">
        <w:rPr>
          <w:rFonts w:ascii="Calibri" w:hAnsi="Calibri" w:cs="Calibri"/>
          <w:b/>
          <w:bCs/>
          <w:sz w:val="26"/>
          <w:szCs w:val="26"/>
        </w:rPr>
        <w:t>záporný příspěvek bilance zahraničního obchodu.</w:t>
      </w:r>
      <w:r w:rsidRPr="00D510BB">
        <w:rPr>
          <w:rFonts w:ascii="Calibri" w:hAnsi="Calibri" w:cs="Calibri"/>
          <w:sz w:val="26"/>
          <w:szCs w:val="26"/>
        </w:rPr>
        <w:t xml:space="preserve"> Na nabídkové straně mělo největší vliv na</w:t>
      </w:r>
      <w:r w:rsidR="005C1B62">
        <w:rPr>
          <w:rFonts w:ascii="Calibri" w:hAnsi="Calibri" w:cs="Calibri"/>
          <w:sz w:val="26"/>
          <w:szCs w:val="26"/>
        </w:rPr>
        <w:t> </w:t>
      </w:r>
      <w:r w:rsidRPr="00D510BB">
        <w:rPr>
          <w:rFonts w:ascii="Calibri" w:hAnsi="Calibri" w:cs="Calibri"/>
          <w:sz w:val="26"/>
          <w:szCs w:val="26"/>
        </w:rPr>
        <w:t>růst hrubé přidané hodnoty odvětví služeb a stavebnictví.</w:t>
      </w:r>
    </w:p>
    <w:p w14:paraId="1AF0D86D" w14:textId="77777777" w:rsidR="00D510BB" w:rsidRPr="00D510BB" w:rsidRDefault="00D510BB" w:rsidP="00D510BB">
      <w:pPr>
        <w:spacing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D510BB">
        <w:rPr>
          <w:rFonts w:ascii="Calibri" w:hAnsi="Calibri" w:cs="Calibri"/>
          <w:b/>
          <w:i/>
          <w:sz w:val="26"/>
          <w:szCs w:val="26"/>
        </w:rPr>
        <w:tab/>
      </w:r>
      <w:r w:rsidRPr="00D510BB">
        <w:rPr>
          <w:rFonts w:ascii="Calibri" w:hAnsi="Calibri" w:cs="Calibri"/>
          <w:sz w:val="26"/>
          <w:szCs w:val="26"/>
        </w:rPr>
        <w:t>Z podrobnějšího rozboru příjmů a výdajů domácností vyplynuly tyto základní poznatky:</w:t>
      </w:r>
    </w:p>
    <w:p w14:paraId="24AB8007" w14:textId="452030AA" w:rsidR="00D510BB" w:rsidRPr="00D510BB" w:rsidRDefault="00D510BB" w:rsidP="00AE5E5B">
      <w:pPr>
        <w:numPr>
          <w:ilvl w:val="0"/>
          <w:numId w:val="17"/>
        </w:numPr>
        <w:spacing w:after="240" w:line="360" w:lineRule="auto"/>
        <w:ind w:left="360"/>
        <w:jc w:val="both"/>
        <w:rPr>
          <w:rFonts w:ascii="Calibri" w:hAnsi="Calibri" w:cs="Calibri"/>
          <w:sz w:val="26"/>
          <w:szCs w:val="26"/>
        </w:rPr>
      </w:pPr>
      <w:r w:rsidRPr="00D510BB">
        <w:rPr>
          <w:rFonts w:ascii="Calibri" w:hAnsi="Calibri" w:cs="Calibri"/>
          <w:sz w:val="26"/>
          <w:szCs w:val="26"/>
        </w:rPr>
        <w:t xml:space="preserve">hrubý </w:t>
      </w:r>
      <w:r w:rsidRPr="00D510BB">
        <w:rPr>
          <w:rFonts w:ascii="Calibri" w:hAnsi="Calibri" w:cs="Calibri"/>
          <w:b/>
          <w:bCs/>
          <w:sz w:val="26"/>
          <w:szCs w:val="26"/>
        </w:rPr>
        <w:t>disponibilní důchod</w:t>
      </w:r>
      <w:r w:rsidRPr="00D510BB">
        <w:rPr>
          <w:rFonts w:ascii="Calibri" w:hAnsi="Calibri" w:cs="Calibri"/>
          <w:sz w:val="26"/>
          <w:szCs w:val="26"/>
        </w:rPr>
        <w:t xml:space="preserve"> sektoru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domácností </w:t>
      </w:r>
      <w:r w:rsidRPr="00D510BB">
        <w:rPr>
          <w:rFonts w:ascii="Calibri" w:hAnsi="Calibri" w:cs="Calibri"/>
          <w:sz w:val="26"/>
          <w:szCs w:val="26"/>
        </w:rPr>
        <w:t>(na makroúrovni statistiky národních účtů)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vzrostl </w:t>
      </w:r>
      <w:r w:rsidRPr="00D510BB">
        <w:rPr>
          <w:rFonts w:ascii="Calibri" w:hAnsi="Calibri" w:cs="Calibri"/>
          <w:sz w:val="26"/>
          <w:szCs w:val="26"/>
        </w:rPr>
        <w:t xml:space="preserve">nominálně 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o 9,8 % na 796,3 mld. Kč, </w:t>
      </w:r>
      <w:r w:rsidRPr="00D510BB">
        <w:rPr>
          <w:rFonts w:ascii="Calibri" w:hAnsi="Calibri" w:cs="Calibri"/>
          <w:sz w:val="26"/>
          <w:szCs w:val="26"/>
        </w:rPr>
        <w:t xml:space="preserve">což při zohlednění cenové inflace znamenalo jeho 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reálné snížení o 1,3 %, hlavní příčinou byl </w:t>
      </w:r>
      <w:r w:rsidRPr="00D510BB">
        <w:rPr>
          <w:rFonts w:ascii="Calibri" w:hAnsi="Calibri" w:cs="Calibri"/>
          <w:sz w:val="26"/>
          <w:szCs w:val="26"/>
        </w:rPr>
        <w:t>na straně příjmů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D510BB">
        <w:rPr>
          <w:rFonts w:ascii="Calibri" w:hAnsi="Calibri" w:cs="Calibri"/>
          <w:sz w:val="26"/>
          <w:szCs w:val="26"/>
        </w:rPr>
        <w:t xml:space="preserve">meziroční </w:t>
      </w:r>
      <w:r w:rsidRPr="00D510BB">
        <w:rPr>
          <w:rFonts w:ascii="Calibri" w:hAnsi="Calibri" w:cs="Calibri"/>
          <w:b/>
          <w:bCs/>
          <w:sz w:val="26"/>
          <w:szCs w:val="26"/>
        </w:rPr>
        <w:t>reálný</w:t>
      </w:r>
      <w:r w:rsidRPr="00D510BB">
        <w:rPr>
          <w:rFonts w:ascii="Calibri" w:hAnsi="Calibri" w:cs="Calibri"/>
          <w:sz w:val="26"/>
          <w:szCs w:val="26"/>
        </w:rPr>
        <w:t xml:space="preserve"> </w:t>
      </w:r>
      <w:r w:rsidRPr="00D510BB">
        <w:rPr>
          <w:rFonts w:ascii="Calibri" w:hAnsi="Calibri" w:cs="Calibri"/>
          <w:b/>
          <w:bCs/>
          <w:sz w:val="26"/>
          <w:szCs w:val="26"/>
        </w:rPr>
        <w:t>pokles</w:t>
      </w:r>
      <w:r w:rsidRPr="00D510BB">
        <w:rPr>
          <w:rFonts w:ascii="Calibri" w:hAnsi="Calibri" w:cs="Calibri"/>
          <w:sz w:val="26"/>
          <w:szCs w:val="26"/>
        </w:rPr>
        <w:t xml:space="preserve"> </w:t>
      </w:r>
      <w:r w:rsidRPr="00D510BB">
        <w:rPr>
          <w:rFonts w:ascii="Calibri" w:hAnsi="Calibri" w:cs="Calibri"/>
          <w:b/>
          <w:bCs/>
          <w:sz w:val="26"/>
          <w:szCs w:val="26"/>
        </w:rPr>
        <w:t>sociálních dávek </w:t>
      </w:r>
      <w:r w:rsidRPr="00D510BB">
        <w:rPr>
          <w:rFonts w:ascii="Calibri" w:hAnsi="Calibri" w:cs="Calibri"/>
          <w:sz w:val="26"/>
          <w:szCs w:val="26"/>
        </w:rPr>
        <w:t>– viz část 1.1</w:t>
      </w:r>
      <w:r w:rsidR="00FB30FC">
        <w:rPr>
          <w:rFonts w:ascii="Calibri" w:hAnsi="Calibri" w:cs="Calibri"/>
          <w:sz w:val="26"/>
          <w:szCs w:val="26"/>
        </w:rPr>
        <w:t>.</w:t>
      </w:r>
      <w:r w:rsidRPr="00D510BB">
        <w:rPr>
          <w:rFonts w:ascii="Calibri" w:hAnsi="Calibri" w:cs="Calibri"/>
          <w:sz w:val="26"/>
          <w:szCs w:val="26"/>
        </w:rPr>
        <w:t>,</w:t>
      </w:r>
    </w:p>
    <w:p w14:paraId="625B4962" w14:textId="7EF7D115" w:rsidR="00D510BB" w:rsidRPr="00D510BB" w:rsidRDefault="00D510BB" w:rsidP="00AE5E5B">
      <w:pPr>
        <w:numPr>
          <w:ilvl w:val="0"/>
          <w:numId w:val="16"/>
        </w:numPr>
        <w:spacing w:after="240" w:line="360" w:lineRule="auto"/>
        <w:ind w:left="360"/>
        <w:jc w:val="both"/>
        <w:rPr>
          <w:rFonts w:ascii="Calibri" w:hAnsi="Calibri" w:cs="Calibri"/>
          <w:b/>
          <w:bCs/>
          <w:sz w:val="26"/>
          <w:szCs w:val="26"/>
        </w:rPr>
      </w:pPr>
      <w:r w:rsidRPr="00D510BB">
        <w:rPr>
          <w:rFonts w:ascii="Calibri" w:hAnsi="Calibri" w:cs="Calibri"/>
          <w:b/>
          <w:bCs/>
          <w:sz w:val="26"/>
          <w:szCs w:val="26"/>
        </w:rPr>
        <w:t xml:space="preserve">největším </w:t>
      </w:r>
      <w:r w:rsidRPr="00D510BB">
        <w:rPr>
          <w:rFonts w:ascii="Calibri" w:eastAsia="Calibri" w:hAnsi="Calibri" w:cs="Calibri"/>
          <w:b/>
          <w:bCs/>
          <w:sz w:val="26"/>
          <w:szCs w:val="26"/>
        </w:rPr>
        <w:t>zdrojem peněžních příjmů</w:t>
      </w:r>
      <w:r w:rsidRPr="00D510BB">
        <w:rPr>
          <w:rFonts w:ascii="Calibri" w:eastAsia="Calibri" w:hAnsi="Calibri" w:cs="Calibri"/>
          <w:sz w:val="26"/>
          <w:szCs w:val="26"/>
        </w:rPr>
        <w:t xml:space="preserve"> </w:t>
      </w:r>
      <w:r w:rsidRPr="00D510BB">
        <w:rPr>
          <w:rFonts w:ascii="Calibri" w:eastAsia="Calibri" w:hAnsi="Calibri" w:cs="Calibri"/>
          <w:bCs/>
          <w:sz w:val="26"/>
          <w:szCs w:val="26"/>
        </w:rPr>
        <w:t xml:space="preserve">domácností byly </w:t>
      </w:r>
      <w:r w:rsidRPr="00D510BB">
        <w:rPr>
          <w:rFonts w:ascii="Calibri" w:eastAsia="Calibri" w:hAnsi="Calibri" w:cs="Calibri"/>
          <w:b/>
          <w:bCs/>
          <w:sz w:val="26"/>
          <w:szCs w:val="26"/>
        </w:rPr>
        <w:t>mzdy; průměrná měsíční nominální mzda v</w:t>
      </w:r>
      <w:r w:rsidR="00371EB5">
        <w:rPr>
          <w:rFonts w:ascii="Calibri" w:eastAsia="Calibri" w:hAnsi="Calibri" w:cs="Calibri"/>
          <w:b/>
          <w:bCs/>
          <w:sz w:val="26"/>
          <w:szCs w:val="26"/>
        </w:rPr>
        <w:t> </w:t>
      </w:r>
      <w:r w:rsidRPr="00D510BB">
        <w:rPr>
          <w:rFonts w:ascii="Calibri" w:eastAsia="Calibri" w:hAnsi="Calibri" w:cs="Calibri"/>
          <w:b/>
          <w:bCs/>
          <w:sz w:val="26"/>
          <w:szCs w:val="26"/>
        </w:rPr>
        <w:t>národním hospodářství</w:t>
      </w:r>
      <w:r w:rsidRPr="00D510BB">
        <w:rPr>
          <w:rFonts w:ascii="Calibri" w:eastAsia="Calibri" w:hAnsi="Calibri" w:cs="Calibri"/>
          <w:bCs/>
          <w:sz w:val="26"/>
          <w:szCs w:val="26"/>
        </w:rPr>
        <w:t xml:space="preserve"> (na přepočtené počty zaměstnanců) dosáhla úrovně </w:t>
      </w:r>
      <w:r w:rsidRPr="00D510BB">
        <w:rPr>
          <w:rFonts w:ascii="Calibri" w:eastAsia="Calibri" w:hAnsi="Calibri" w:cs="Calibri"/>
          <w:b/>
          <w:bCs/>
          <w:sz w:val="26"/>
          <w:szCs w:val="26"/>
        </w:rPr>
        <w:t>37 929 Kč.</w:t>
      </w:r>
      <w:r w:rsidRPr="00D510BB">
        <w:rPr>
          <w:rFonts w:ascii="Calibri" w:eastAsia="Calibri" w:hAnsi="Calibri" w:cs="Calibri"/>
          <w:bCs/>
          <w:sz w:val="26"/>
          <w:szCs w:val="26"/>
        </w:rPr>
        <w:t xml:space="preserve"> Po rozkolísaném vývoji v předchozím období zaznamenala v 1. čtvrtletí letošního roku dynamika průměrné nominální mzdy</w:t>
      </w:r>
      <w:r w:rsidRPr="00D510BB">
        <w:rPr>
          <w:rFonts w:ascii="Calibri" w:eastAsia="Calibri" w:hAnsi="Calibri" w:cs="Calibri"/>
          <w:sz w:val="26"/>
          <w:szCs w:val="26"/>
        </w:rPr>
        <w:t xml:space="preserve"> </w:t>
      </w:r>
      <w:r w:rsidRPr="00D510BB">
        <w:rPr>
          <w:rFonts w:ascii="Calibri" w:eastAsia="Calibri" w:hAnsi="Calibri" w:cs="Calibri"/>
          <w:bCs/>
          <w:sz w:val="26"/>
          <w:szCs w:val="26"/>
        </w:rPr>
        <w:t xml:space="preserve">meziročně nárůst o 5,4 p. b., tj. </w:t>
      </w:r>
      <w:r w:rsidRPr="00D510BB">
        <w:rPr>
          <w:rFonts w:ascii="Calibri" w:eastAsia="Calibri" w:hAnsi="Calibri" w:cs="Calibri"/>
          <w:b/>
          <w:sz w:val="26"/>
          <w:szCs w:val="26"/>
        </w:rPr>
        <w:t>průměrná mzda vzrostla o 7,2 %.</w:t>
      </w:r>
      <w:r w:rsidRPr="00D510BB">
        <w:rPr>
          <w:rFonts w:ascii="Calibri" w:eastAsia="Calibri" w:hAnsi="Calibri" w:cs="Calibri"/>
          <w:bCs/>
          <w:sz w:val="26"/>
          <w:szCs w:val="26"/>
        </w:rPr>
        <w:t xml:space="preserve"> Tento poměrně významný nominální nárůst v</w:t>
      </w:r>
      <w:r w:rsidR="00371EB5">
        <w:rPr>
          <w:rFonts w:ascii="Calibri" w:eastAsia="Calibri" w:hAnsi="Calibri" w:cs="Calibri"/>
          <w:bCs/>
          <w:sz w:val="26"/>
          <w:szCs w:val="26"/>
        </w:rPr>
        <w:t> </w:t>
      </w:r>
      <w:r w:rsidRPr="00D510BB">
        <w:rPr>
          <w:rFonts w:ascii="Calibri" w:eastAsia="Calibri" w:hAnsi="Calibri" w:cs="Calibri"/>
          <w:bCs/>
          <w:sz w:val="26"/>
          <w:szCs w:val="26"/>
        </w:rPr>
        <w:t xml:space="preserve">1. čtvrtletí letošního roku byl negován vývojem inflace. </w:t>
      </w:r>
      <w:r w:rsidRPr="00D510BB">
        <w:rPr>
          <w:rFonts w:ascii="Calibri" w:eastAsia="Calibri" w:hAnsi="Calibri" w:cs="Calibri"/>
          <w:b/>
          <w:sz w:val="26"/>
          <w:szCs w:val="26"/>
        </w:rPr>
        <w:t>Po zohlednění nárůstu cenové inflace</w:t>
      </w:r>
      <w:r w:rsidRPr="00D510BB"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Pr="00D510BB">
        <w:rPr>
          <w:rFonts w:ascii="Calibri" w:eastAsia="Calibri" w:hAnsi="Calibri" w:cs="Calibri"/>
          <w:b/>
          <w:bCs/>
          <w:sz w:val="26"/>
          <w:szCs w:val="26"/>
        </w:rPr>
        <w:t>došlo k</w:t>
      </w:r>
      <w:r w:rsidR="00371EB5">
        <w:rPr>
          <w:rFonts w:ascii="Calibri" w:eastAsia="Calibri" w:hAnsi="Calibri" w:cs="Calibri"/>
          <w:b/>
          <w:bCs/>
          <w:sz w:val="26"/>
          <w:szCs w:val="26"/>
        </w:rPr>
        <w:t> </w:t>
      </w:r>
      <w:r w:rsidRPr="00D510BB">
        <w:rPr>
          <w:rFonts w:ascii="Calibri" w:eastAsia="Calibri" w:hAnsi="Calibri" w:cs="Calibri"/>
          <w:b/>
          <w:bCs/>
          <w:sz w:val="26"/>
          <w:szCs w:val="26"/>
        </w:rPr>
        <w:t>poklesu reálné úrovně průměrné mzdy</w:t>
      </w:r>
      <w:r w:rsidRPr="00D510BB">
        <w:rPr>
          <w:rFonts w:ascii="Calibri" w:eastAsia="Calibri" w:hAnsi="Calibri" w:cs="Calibri"/>
          <w:sz w:val="26"/>
          <w:szCs w:val="26"/>
        </w:rPr>
        <w:t xml:space="preserve"> </w:t>
      </w:r>
      <w:r w:rsidRPr="00D510BB">
        <w:rPr>
          <w:rFonts w:ascii="Calibri" w:eastAsia="Calibri" w:hAnsi="Calibri" w:cs="Calibri"/>
          <w:b/>
          <w:bCs/>
          <w:sz w:val="26"/>
          <w:szCs w:val="26"/>
        </w:rPr>
        <w:t>o 3,6 %</w:t>
      </w:r>
      <w:r w:rsidRPr="00D510BB">
        <w:rPr>
          <w:rFonts w:ascii="Calibri" w:eastAsia="Calibri" w:hAnsi="Calibri" w:cs="Calibri"/>
          <w:b/>
          <w:bCs/>
          <w:iCs/>
          <w:sz w:val="26"/>
          <w:szCs w:val="26"/>
        </w:rPr>
        <w:t> </w:t>
      </w:r>
      <w:r w:rsidRPr="00D510BB">
        <w:rPr>
          <w:rFonts w:ascii="Calibri" w:eastAsia="Calibri" w:hAnsi="Calibri" w:cs="Calibri"/>
          <w:iCs/>
          <w:sz w:val="26"/>
          <w:szCs w:val="26"/>
        </w:rPr>
        <w:t>– více v části 1.2</w:t>
      </w:r>
      <w:r w:rsidR="00FB30FC">
        <w:rPr>
          <w:rFonts w:ascii="Calibri" w:eastAsia="Calibri" w:hAnsi="Calibri" w:cs="Calibri"/>
          <w:iCs/>
          <w:sz w:val="26"/>
          <w:szCs w:val="26"/>
        </w:rPr>
        <w:t>.</w:t>
      </w:r>
      <w:r w:rsidRPr="00D510BB">
        <w:rPr>
          <w:rFonts w:ascii="Calibri" w:eastAsia="Calibri" w:hAnsi="Calibri" w:cs="Calibri"/>
          <w:iCs/>
          <w:sz w:val="26"/>
          <w:szCs w:val="26"/>
        </w:rPr>
        <w:t>,</w:t>
      </w:r>
    </w:p>
    <w:p w14:paraId="631B2152" w14:textId="041CFEFB" w:rsidR="00D510BB" w:rsidRPr="00D510BB" w:rsidRDefault="00D510BB" w:rsidP="00AE5E5B">
      <w:pPr>
        <w:numPr>
          <w:ilvl w:val="0"/>
          <w:numId w:val="16"/>
        </w:numPr>
        <w:spacing w:after="240" w:line="360" w:lineRule="auto"/>
        <w:ind w:left="360"/>
        <w:jc w:val="both"/>
        <w:rPr>
          <w:rFonts w:ascii="Calibri" w:hAnsi="Calibri" w:cs="Calibri"/>
          <w:bCs/>
          <w:sz w:val="26"/>
          <w:szCs w:val="26"/>
        </w:rPr>
      </w:pPr>
      <w:r w:rsidRPr="00D510BB">
        <w:rPr>
          <w:rFonts w:ascii="Calibri" w:hAnsi="Calibri" w:cs="Calibri"/>
          <w:b/>
          <w:bCs/>
          <w:sz w:val="26"/>
          <w:szCs w:val="26"/>
        </w:rPr>
        <w:lastRenderedPageBreak/>
        <w:t>příjmy domácnostní sociálního charakteru</w:t>
      </w:r>
      <w:r w:rsidRPr="00D510BB">
        <w:rPr>
          <w:rFonts w:ascii="Calibri" w:hAnsi="Calibri" w:cs="Calibri"/>
          <w:sz w:val="26"/>
          <w:szCs w:val="26"/>
        </w:rPr>
        <w:t xml:space="preserve"> – druhé nejvýznamnější složky úhrnných příjmů domácností – </w:t>
      </w:r>
      <w:r w:rsidRPr="00D510BB">
        <w:rPr>
          <w:rFonts w:ascii="Calibri" w:hAnsi="Calibri" w:cs="Calibri"/>
          <w:b/>
          <w:bCs/>
          <w:sz w:val="26"/>
          <w:szCs w:val="26"/>
        </w:rPr>
        <w:t>byly</w:t>
      </w:r>
      <w:r w:rsidRPr="00D510BB">
        <w:rPr>
          <w:rFonts w:ascii="Calibri" w:hAnsi="Calibri" w:cs="Calibri"/>
          <w:sz w:val="26"/>
          <w:szCs w:val="26"/>
        </w:rPr>
        <w:t xml:space="preserve"> nominálně o</w:t>
      </w:r>
      <w:r w:rsidR="00371EB5">
        <w:rPr>
          <w:rFonts w:ascii="Calibri" w:hAnsi="Calibri" w:cs="Calibri"/>
          <w:sz w:val="26"/>
          <w:szCs w:val="26"/>
        </w:rPr>
        <w:t> </w:t>
      </w:r>
      <w:r w:rsidRPr="00D510BB">
        <w:rPr>
          <w:rFonts w:ascii="Calibri" w:hAnsi="Calibri" w:cs="Calibri"/>
          <w:sz w:val="26"/>
          <w:szCs w:val="26"/>
        </w:rPr>
        <w:t xml:space="preserve">10,4 mld. Kč (6,3 %) </w:t>
      </w:r>
      <w:r w:rsidRPr="00D510BB">
        <w:rPr>
          <w:rFonts w:ascii="Calibri" w:hAnsi="Calibri" w:cs="Calibri"/>
          <w:b/>
          <w:bCs/>
          <w:sz w:val="26"/>
          <w:szCs w:val="26"/>
        </w:rPr>
        <w:t>vyšší než v 1. čtvrtletí 2021</w:t>
      </w:r>
      <w:r w:rsidRPr="00D510BB">
        <w:rPr>
          <w:rFonts w:ascii="Calibri" w:hAnsi="Calibri" w:cs="Calibri"/>
          <w:sz w:val="26"/>
          <w:szCs w:val="26"/>
        </w:rPr>
        <w:t>; nižší byla výplata dávek státní sociální podpory, dávek pěstounské péče a náhradního výživného, dávek pro osoby se zdravotním postižením a podpory v nezaměstnanosti, příjmy občanů z ostatních druhů sociálních dávek se zvýšily – podrobněji viz část 1.3</w:t>
      </w:r>
      <w:r w:rsidR="00FB30FC">
        <w:rPr>
          <w:rFonts w:ascii="Calibri" w:hAnsi="Calibri" w:cs="Calibri"/>
          <w:sz w:val="26"/>
          <w:szCs w:val="26"/>
        </w:rPr>
        <w:t>.</w:t>
      </w:r>
      <w:r w:rsidRPr="00D510BB">
        <w:rPr>
          <w:rFonts w:ascii="Calibri" w:hAnsi="Calibri" w:cs="Calibri"/>
          <w:sz w:val="26"/>
          <w:szCs w:val="26"/>
        </w:rPr>
        <w:t>,</w:t>
      </w:r>
    </w:p>
    <w:p w14:paraId="22DA3622" w14:textId="7F5965F0" w:rsidR="00D510BB" w:rsidRPr="00D510BB" w:rsidRDefault="00D510BB" w:rsidP="00AE5E5B">
      <w:pPr>
        <w:numPr>
          <w:ilvl w:val="0"/>
          <w:numId w:val="16"/>
        </w:numPr>
        <w:spacing w:after="240" w:line="360" w:lineRule="auto"/>
        <w:ind w:left="360"/>
        <w:jc w:val="both"/>
        <w:rPr>
          <w:rFonts w:ascii="Calibri" w:hAnsi="Calibri" w:cs="Calibri"/>
          <w:sz w:val="26"/>
          <w:szCs w:val="26"/>
        </w:rPr>
      </w:pPr>
      <w:r w:rsidRPr="00D510BB">
        <w:rPr>
          <w:rFonts w:ascii="Calibri" w:hAnsi="Calibri" w:cs="Calibri"/>
          <w:bCs/>
          <w:sz w:val="26"/>
          <w:szCs w:val="26"/>
        </w:rPr>
        <w:t>průměrná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výše</w:t>
      </w:r>
      <w:r w:rsidRPr="00D510BB">
        <w:rPr>
          <w:rFonts w:ascii="Calibri" w:hAnsi="Calibri" w:cs="Calibri"/>
          <w:sz w:val="26"/>
          <w:szCs w:val="26"/>
        </w:rPr>
        <w:t xml:space="preserve"> (samostatně vypláceného) starobního </w:t>
      </w:r>
      <w:r w:rsidRPr="00D510BB">
        <w:rPr>
          <w:rFonts w:ascii="Calibri" w:hAnsi="Calibri" w:cs="Calibri"/>
          <w:b/>
          <w:bCs/>
          <w:sz w:val="26"/>
          <w:szCs w:val="26"/>
        </w:rPr>
        <w:t>důchodu</w:t>
      </w:r>
      <w:r w:rsidRPr="00D510BB">
        <w:rPr>
          <w:rFonts w:ascii="Calibri" w:hAnsi="Calibri" w:cs="Calibri"/>
          <w:sz w:val="26"/>
          <w:szCs w:val="26"/>
        </w:rPr>
        <w:t xml:space="preserve"> vzrostla meziročně o</w:t>
      </w:r>
      <w:r w:rsidR="00371EB5">
        <w:rPr>
          <w:rFonts w:ascii="Calibri" w:hAnsi="Calibri" w:cs="Calibri"/>
          <w:sz w:val="26"/>
          <w:szCs w:val="26"/>
        </w:rPr>
        <w:t> </w:t>
      </w:r>
      <w:r w:rsidRPr="00D510BB">
        <w:rPr>
          <w:rFonts w:ascii="Calibri" w:hAnsi="Calibri" w:cs="Calibri"/>
          <w:sz w:val="26"/>
          <w:szCs w:val="26"/>
        </w:rPr>
        <w:t xml:space="preserve">5,9 % na </w:t>
      </w:r>
      <w:r w:rsidRPr="00D510BB">
        <w:rPr>
          <w:rFonts w:ascii="Calibri" w:hAnsi="Calibri" w:cs="Calibri"/>
          <w:b/>
          <w:bCs/>
          <w:sz w:val="26"/>
          <w:szCs w:val="26"/>
        </w:rPr>
        <w:t>16</w:t>
      </w:r>
      <w:r w:rsidR="00371EB5">
        <w:rPr>
          <w:rFonts w:ascii="Calibri" w:hAnsi="Calibri" w:cs="Calibri"/>
          <w:b/>
          <w:bCs/>
          <w:sz w:val="26"/>
          <w:szCs w:val="26"/>
        </w:rPr>
        <w:t> </w:t>
      </w:r>
      <w:r w:rsidRPr="00D510BB">
        <w:rPr>
          <w:rFonts w:ascii="Calibri" w:hAnsi="Calibri" w:cs="Calibri"/>
          <w:b/>
          <w:bCs/>
          <w:sz w:val="26"/>
          <w:szCs w:val="26"/>
        </w:rPr>
        <w:t>269</w:t>
      </w:r>
      <w:r w:rsidR="00371EB5">
        <w:rPr>
          <w:rFonts w:ascii="Calibri" w:hAnsi="Calibri" w:cs="Calibri"/>
          <w:b/>
          <w:bCs/>
          <w:sz w:val="26"/>
          <w:szCs w:val="26"/>
        </w:rPr>
        <w:t> </w:t>
      </w:r>
      <w:r w:rsidRPr="00D510BB">
        <w:rPr>
          <w:rFonts w:ascii="Calibri" w:hAnsi="Calibri" w:cs="Calibri"/>
          <w:b/>
          <w:bCs/>
          <w:sz w:val="26"/>
          <w:szCs w:val="26"/>
        </w:rPr>
        <w:t>Kč</w:t>
      </w:r>
      <w:r w:rsidRPr="00D510BB">
        <w:rPr>
          <w:rFonts w:ascii="Calibri" w:hAnsi="Calibri" w:cs="Calibri"/>
          <w:sz w:val="26"/>
          <w:szCs w:val="26"/>
        </w:rPr>
        <w:t xml:space="preserve">, </w:t>
      </w:r>
      <w:r w:rsidRPr="00D510BB">
        <w:rPr>
          <w:rFonts w:ascii="Calibri" w:hAnsi="Calibri" w:cs="Calibri"/>
          <w:b/>
          <w:bCs/>
          <w:sz w:val="26"/>
          <w:szCs w:val="26"/>
        </w:rPr>
        <w:t>v</w:t>
      </w:r>
      <w:r w:rsidR="00371EB5">
        <w:rPr>
          <w:rFonts w:ascii="Calibri" w:hAnsi="Calibri" w:cs="Calibri"/>
          <w:b/>
          <w:bCs/>
          <w:sz w:val="26"/>
          <w:szCs w:val="26"/>
        </w:rPr>
        <w:t> </w:t>
      </w:r>
      <w:r w:rsidRPr="00D510BB">
        <w:rPr>
          <w:rFonts w:ascii="Calibri" w:hAnsi="Calibri" w:cs="Calibri"/>
          <w:b/>
          <w:bCs/>
          <w:sz w:val="26"/>
          <w:szCs w:val="26"/>
        </w:rPr>
        <w:t>reálném vyjádření</w:t>
      </w:r>
      <w:r w:rsidRPr="00D510BB">
        <w:rPr>
          <w:rFonts w:ascii="Calibri" w:hAnsi="Calibri" w:cs="Calibri"/>
          <w:sz w:val="26"/>
          <w:szCs w:val="26"/>
        </w:rPr>
        <w:t xml:space="preserve"> však </w:t>
      </w:r>
      <w:r w:rsidRPr="00D510BB">
        <w:rPr>
          <w:rFonts w:ascii="Calibri" w:hAnsi="Calibri" w:cs="Calibri"/>
          <w:b/>
          <w:bCs/>
          <w:sz w:val="26"/>
          <w:szCs w:val="26"/>
        </w:rPr>
        <w:t>klesla o</w:t>
      </w:r>
      <w:r w:rsidR="00371EB5">
        <w:rPr>
          <w:rFonts w:ascii="Calibri" w:hAnsi="Calibri" w:cs="Calibri"/>
          <w:b/>
          <w:bCs/>
          <w:sz w:val="26"/>
          <w:szCs w:val="26"/>
        </w:rPr>
        <w:t> </w:t>
      </w:r>
      <w:r w:rsidRPr="00D510BB">
        <w:rPr>
          <w:rFonts w:ascii="Calibri" w:hAnsi="Calibri" w:cs="Calibri"/>
          <w:b/>
          <w:bCs/>
          <w:sz w:val="26"/>
          <w:szCs w:val="26"/>
        </w:rPr>
        <w:t>4,2 %</w:t>
      </w:r>
      <w:r w:rsidRPr="00D510BB">
        <w:rPr>
          <w:rFonts w:ascii="Calibri" w:hAnsi="Calibri" w:cs="Calibri"/>
          <w:sz w:val="26"/>
          <w:szCs w:val="26"/>
        </w:rPr>
        <w:t xml:space="preserve"> (při použití indexu životních nákladů domácností důchodců),</w:t>
      </w:r>
    </w:p>
    <w:p w14:paraId="285B8D0C" w14:textId="4AFB43D9" w:rsidR="00D510BB" w:rsidRPr="00D510BB" w:rsidRDefault="00D510BB" w:rsidP="00AE5E5B">
      <w:pPr>
        <w:numPr>
          <w:ilvl w:val="0"/>
          <w:numId w:val="16"/>
        </w:numPr>
        <w:spacing w:after="240" w:line="360" w:lineRule="auto"/>
        <w:ind w:left="360"/>
        <w:jc w:val="both"/>
        <w:rPr>
          <w:rFonts w:ascii="Calibri" w:hAnsi="Calibri" w:cs="Calibri"/>
          <w:sz w:val="26"/>
          <w:szCs w:val="26"/>
        </w:rPr>
      </w:pPr>
      <w:r w:rsidRPr="00D510BB">
        <w:rPr>
          <w:rFonts w:ascii="Calibri" w:hAnsi="Calibri" w:cs="Calibri"/>
          <w:sz w:val="26"/>
          <w:szCs w:val="26"/>
        </w:rPr>
        <w:t xml:space="preserve">na </w:t>
      </w:r>
      <w:r w:rsidRPr="00D510BB">
        <w:rPr>
          <w:rFonts w:ascii="Calibri" w:hAnsi="Calibri" w:cs="Calibri"/>
          <w:b/>
          <w:sz w:val="26"/>
          <w:szCs w:val="26"/>
        </w:rPr>
        <w:t>podporu v</w:t>
      </w:r>
      <w:r w:rsidR="00371EB5">
        <w:rPr>
          <w:rFonts w:ascii="Calibri" w:hAnsi="Calibri" w:cs="Calibri"/>
          <w:b/>
          <w:sz w:val="26"/>
          <w:szCs w:val="26"/>
        </w:rPr>
        <w:t> </w:t>
      </w:r>
      <w:r w:rsidRPr="00D510BB">
        <w:rPr>
          <w:rFonts w:ascii="Calibri" w:hAnsi="Calibri" w:cs="Calibri"/>
          <w:b/>
          <w:sz w:val="26"/>
          <w:szCs w:val="26"/>
        </w:rPr>
        <w:t>nezaměstnanosti</w:t>
      </w:r>
      <w:r w:rsidRPr="00D510BB">
        <w:rPr>
          <w:rFonts w:ascii="Calibri" w:hAnsi="Calibri" w:cs="Calibri"/>
          <w:sz w:val="26"/>
          <w:szCs w:val="26"/>
        </w:rPr>
        <w:t xml:space="preserve"> bylo čerpáno o</w:t>
      </w:r>
      <w:r w:rsidR="00371EB5">
        <w:rPr>
          <w:rFonts w:ascii="Calibri" w:hAnsi="Calibri" w:cs="Calibri"/>
          <w:sz w:val="26"/>
          <w:szCs w:val="26"/>
        </w:rPr>
        <w:t> </w:t>
      </w:r>
      <w:r w:rsidRPr="00D510BB">
        <w:rPr>
          <w:rFonts w:ascii="Calibri" w:hAnsi="Calibri" w:cs="Calibri"/>
          <w:sz w:val="26"/>
          <w:szCs w:val="26"/>
        </w:rPr>
        <w:t xml:space="preserve">0,3 mld. Kč </w:t>
      </w:r>
      <w:r w:rsidRPr="00D510BB">
        <w:rPr>
          <w:rFonts w:ascii="Calibri" w:hAnsi="Calibri" w:cs="Calibri"/>
          <w:b/>
          <w:sz w:val="26"/>
          <w:szCs w:val="26"/>
        </w:rPr>
        <w:t>(o</w:t>
      </w:r>
      <w:r w:rsidR="00371EB5">
        <w:rPr>
          <w:rFonts w:ascii="Calibri" w:hAnsi="Calibri" w:cs="Calibri"/>
          <w:b/>
          <w:sz w:val="26"/>
          <w:szCs w:val="26"/>
        </w:rPr>
        <w:t> </w:t>
      </w:r>
      <w:r w:rsidRPr="00D510BB">
        <w:rPr>
          <w:rFonts w:ascii="Calibri" w:hAnsi="Calibri" w:cs="Calibri"/>
          <w:b/>
          <w:sz w:val="26"/>
          <w:szCs w:val="26"/>
        </w:rPr>
        <w:t>9,0 %) méně</w:t>
      </w:r>
      <w:r w:rsidRPr="00D510BB">
        <w:rPr>
          <w:rFonts w:ascii="Calibri" w:hAnsi="Calibri" w:cs="Calibri"/>
          <w:sz w:val="26"/>
          <w:szCs w:val="26"/>
        </w:rPr>
        <w:t xml:space="preserve"> než v 1. čtvrtletí 2021; </w:t>
      </w:r>
      <w:r w:rsidRPr="00D510BB">
        <w:rPr>
          <w:rFonts w:ascii="Calibri" w:hAnsi="Calibri" w:cs="Calibri"/>
          <w:b/>
          <w:sz w:val="26"/>
          <w:szCs w:val="26"/>
        </w:rPr>
        <w:t>průměrný podíl nezaměstnaných osob klesl</w:t>
      </w:r>
      <w:r w:rsidRPr="00D510BB">
        <w:rPr>
          <w:rFonts w:ascii="Calibri" w:hAnsi="Calibri" w:cs="Calibri"/>
          <w:sz w:val="26"/>
          <w:szCs w:val="26"/>
        </w:rPr>
        <w:t xml:space="preserve"> o</w:t>
      </w:r>
      <w:r w:rsidR="00371EB5">
        <w:rPr>
          <w:rFonts w:ascii="Calibri" w:hAnsi="Calibri" w:cs="Calibri"/>
          <w:sz w:val="26"/>
          <w:szCs w:val="26"/>
        </w:rPr>
        <w:t> </w:t>
      </w:r>
      <w:r w:rsidRPr="00D510BB">
        <w:rPr>
          <w:rFonts w:ascii="Calibri" w:hAnsi="Calibri" w:cs="Calibri"/>
          <w:sz w:val="26"/>
          <w:szCs w:val="26"/>
        </w:rPr>
        <w:t xml:space="preserve">0,7 p. b. </w:t>
      </w:r>
      <w:r w:rsidRPr="00D510BB">
        <w:rPr>
          <w:rFonts w:ascii="Calibri" w:hAnsi="Calibri" w:cs="Calibri"/>
          <w:b/>
          <w:sz w:val="26"/>
          <w:szCs w:val="26"/>
        </w:rPr>
        <w:t>na 3,5 %</w:t>
      </w:r>
      <w:r w:rsidRPr="00D510BB">
        <w:rPr>
          <w:rFonts w:ascii="Calibri" w:hAnsi="Calibri" w:cs="Calibri"/>
          <w:sz w:val="26"/>
          <w:szCs w:val="26"/>
        </w:rPr>
        <w:t xml:space="preserve">; </w:t>
      </w:r>
      <w:r w:rsidRPr="00D510BB">
        <w:rPr>
          <w:rFonts w:ascii="Calibri" w:hAnsi="Calibri" w:cs="Calibri"/>
          <w:b/>
          <w:sz w:val="26"/>
          <w:szCs w:val="26"/>
        </w:rPr>
        <w:t>průměrná výše podpory v</w:t>
      </w:r>
      <w:r w:rsidR="00371EB5">
        <w:rPr>
          <w:rFonts w:ascii="Calibri" w:hAnsi="Calibri" w:cs="Calibri"/>
          <w:b/>
          <w:sz w:val="26"/>
          <w:szCs w:val="26"/>
        </w:rPr>
        <w:t> </w:t>
      </w:r>
      <w:r w:rsidRPr="00D510BB">
        <w:rPr>
          <w:rFonts w:ascii="Calibri" w:hAnsi="Calibri" w:cs="Calibri"/>
          <w:b/>
          <w:sz w:val="26"/>
          <w:szCs w:val="26"/>
        </w:rPr>
        <w:t>nezaměstnanosti</w:t>
      </w:r>
      <w:r w:rsidRPr="00D510BB">
        <w:rPr>
          <w:rFonts w:ascii="Calibri" w:hAnsi="Calibri" w:cs="Calibri"/>
          <w:sz w:val="26"/>
          <w:szCs w:val="26"/>
        </w:rPr>
        <w:t xml:space="preserve"> činila </w:t>
      </w:r>
      <w:r w:rsidRPr="00D510BB">
        <w:rPr>
          <w:rFonts w:ascii="Calibri" w:hAnsi="Calibri" w:cs="Calibri"/>
          <w:b/>
          <w:sz w:val="26"/>
          <w:szCs w:val="26"/>
        </w:rPr>
        <w:t xml:space="preserve">9 241 Kč </w:t>
      </w:r>
      <w:r w:rsidRPr="00D510BB">
        <w:rPr>
          <w:rFonts w:ascii="Calibri" w:hAnsi="Calibri" w:cs="Calibri"/>
          <w:sz w:val="26"/>
          <w:szCs w:val="26"/>
        </w:rPr>
        <w:t xml:space="preserve">a byla o 820 Kč </w:t>
      </w:r>
      <w:r w:rsidRPr="00D510BB">
        <w:rPr>
          <w:rFonts w:ascii="Calibri" w:hAnsi="Calibri" w:cs="Calibri"/>
          <w:b/>
          <w:sz w:val="26"/>
          <w:szCs w:val="26"/>
        </w:rPr>
        <w:t>vyšší</w:t>
      </w:r>
      <w:r w:rsidRPr="00D510BB">
        <w:rPr>
          <w:rFonts w:ascii="Calibri" w:hAnsi="Calibri" w:cs="Calibri"/>
          <w:sz w:val="26"/>
          <w:szCs w:val="26"/>
        </w:rPr>
        <w:t>,</w:t>
      </w:r>
    </w:p>
    <w:p w14:paraId="5B3EBEE7" w14:textId="77777777" w:rsidR="00D510BB" w:rsidRPr="00D510BB" w:rsidRDefault="00D510BB" w:rsidP="00AE5E5B">
      <w:pPr>
        <w:numPr>
          <w:ilvl w:val="0"/>
          <w:numId w:val="16"/>
        </w:numPr>
        <w:spacing w:after="240" w:line="360" w:lineRule="auto"/>
        <w:ind w:left="360"/>
        <w:jc w:val="both"/>
        <w:rPr>
          <w:rFonts w:ascii="Calibri" w:hAnsi="Calibri" w:cs="Calibri"/>
          <w:sz w:val="26"/>
          <w:szCs w:val="26"/>
        </w:rPr>
      </w:pPr>
      <w:r w:rsidRPr="00D510BB">
        <w:rPr>
          <w:rFonts w:ascii="Calibri" w:hAnsi="Calibri" w:cs="Calibri"/>
          <w:sz w:val="26"/>
          <w:szCs w:val="26"/>
        </w:rPr>
        <w:t xml:space="preserve">na </w:t>
      </w:r>
      <w:r w:rsidRPr="00D510BB">
        <w:rPr>
          <w:rFonts w:ascii="Calibri" w:hAnsi="Calibri" w:cs="Calibri"/>
          <w:b/>
          <w:sz w:val="26"/>
          <w:szCs w:val="26"/>
        </w:rPr>
        <w:t xml:space="preserve">dávkách pomoci v hmotné nouzi </w:t>
      </w:r>
      <w:r w:rsidRPr="00D510BB">
        <w:rPr>
          <w:rFonts w:ascii="Calibri" w:hAnsi="Calibri" w:cs="Calibri"/>
          <w:sz w:val="26"/>
          <w:szCs w:val="26"/>
        </w:rPr>
        <w:t xml:space="preserve">bylo vyplaceno </w:t>
      </w:r>
      <w:r w:rsidRPr="00D510BB">
        <w:rPr>
          <w:rFonts w:ascii="Calibri" w:hAnsi="Calibri" w:cs="Calibri"/>
          <w:b/>
          <w:sz w:val="26"/>
          <w:szCs w:val="26"/>
        </w:rPr>
        <w:t>o 48,8 %</w:t>
      </w:r>
      <w:r w:rsidRPr="00D510BB">
        <w:rPr>
          <w:rFonts w:ascii="Calibri" w:hAnsi="Calibri" w:cs="Calibri"/>
          <w:sz w:val="26"/>
          <w:szCs w:val="26"/>
        </w:rPr>
        <w:t xml:space="preserve"> finančních prostředků </w:t>
      </w:r>
      <w:r w:rsidRPr="00D510BB">
        <w:rPr>
          <w:rFonts w:ascii="Calibri" w:hAnsi="Calibri" w:cs="Calibri"/>
          <w:b/>
          <w:sz w:val="26"/>
          <w:szCs w:val="26"/>
        </w:rPr>
        <w:t>více</w:t>
      </w:r>
      <w:r w:rsidRPr="00D510BB">
        <w:rPr>
          <w:rFonts w:ascii="Calibri" w:hAnsi="Calibri" w:cs="Calibri"/>
          <w:sz w:val="26"/>
          <w:szCs w:val="26"/>
        </w:rPr>
        <w:t xml:space="preserve"> než ve stejném období předchozího roku; nárůst byl způsoben zejména poskytnutím dávky humanitární pomoci občanům Ukrajiny v březnu t. r.,</w:t>
      </w:r>
    </w:p>
    <w:p w14:paraId="112E90F1" w14:textId="0E2725DB" w:rsidR="00D510BB" w:rsidRPr="00D510BB" w:rsidRDefault="00D510BB" w:rsidP="00AE5E5B">
      <w:pPr>
        <w:numPr>
          <w:ilvl w:val="0"/>
          <w:numId w:val="16"/>
        </w:numPr>
        <w:spacing w:after="240" w:line="360" w:lineRule="auto"/>
        <w:ind w:left="360"/>
        <w:jc w:val="both"/>
        <w:rPr>
          <w:rFonts w:ascii="Calibri" w:hAnsi="Calibri" w:cs="Calibri"/>
          <w:sz w:val="26"/>
          <w:szCs w:val="26"/>
        </w:rPr>
      </w:pPr>
      <w:r w:rsidRPr="00D510BB">
        <w:rPr>
          <w:rFonts w:ascii="Calibri" w:hAnsi="Calibri" w:cs="Calibri"/>
          <w:sz w:val="26"/>
          <w:szCs w:val="26"/>
        </w:rPr>
        <w:t>úhrnná meziroční</w:t>
      </w:r>
      <w:r w:rsidRPr="00D510BB">
        <w:rPr>
          <w:rFonts w:ascii="Calibri" w:hAnsi="Calibri" w:cs="Calibri"/>
          <w:b/>
          <w:sz w:val="26"/>
          <w:szCs w:val="26"/>
        </w:rPr>
        <w:t xml:space="preserve"> míra cenové inflace </w:t>
      </w:r>
      <w:r w:rsidRPr="00D510BB">
        <w:rPr>
          <w:rFonts w:ascii="Calibri" w:hAnsi="Calibri" w:cs="Calibri"/>
          <w:sz w:val="26"/>
          <w:szCs w:val="26"/>
        </w:rPr>
        <w:t>v</w:t>
      </w:r>
      <w:r w:rsidR="00371EB5">
        <w:rPr>
          <w:rFonts w:ascii="Calibri" w:hAnsi="Calibri" w:cs="Calibri"/>
          <w:sz w:val="26"/>
          <w:szCs w:val="26"/>
        </w:rPr>
        <w:t> </w:t>
      </w:r>
      <w:r w:rsidRPr="00D510BB">
        <w:rPr>
          <w:rFonts w:ascii="Calibri" w:hAnsi="Calibri" w:cs="Calibri"/>
          <w:sz w:val="26"/>
          <w:szCs w:val="26"/>
        </w:rPr>
        <w:t>lednu</w:t>
      </w:r>
      <w:r w:rsidR="00371EB5">
        <w:rPr>
          <w:rFonts w:ascii="Calibri" w:hAnsi="Calibri" w:cs="Calibri"/>
          <w:sz w:val="26"/>
          <w:szCs w:val="26"/>
        </w:rPr>
        <w:t> </w:t>
      </w:r>
      <w:r w:rsidRPr="00D510BB">
        <w:rPr>
          <w:rFonts w:ascii="Calibri" w:hAnsi="Calibri" w:cs="Calibri"/>
          <w:sz w:val="26"/>
          <w:szCs w:val="26"/>
        </w:rPr>
        <w:t>–</w:t>
      </w:r>
      <w:r w:rsidR="00371EB5">
        <w:rPr>
          <w:rFonts w:ascii="Calibri" w:hAnsi="Calibri" w:cs="Calibri"/>
          <w:sz w:val="26"/>
          <w:szCs w:val="26"/>
        </w:rPr>
        <w:t> </w:t>
      </w:r>
      <w:r w:rsidRPr="00D510BB">
        <w:rPr>
          <w:rFonts w:ascii="Calibri" w:hAnsi="Calibri" w:cs="Calibri"/>
          <w:sz w:val="26"/>
          <w:szCs w:val="26"/>
        </w:rPr>
        <w:t>březnu 2022</w:t>
      </w:r>
      <w:r w:rsidR="00AE5E5B">
        <w:rPr>
          <w:rFonts w:ascii="Calibri" w:hAnsi="Calibri" w:cs="Calibri"/>
          <w:sz w:val="26"/>
          <w:szCs w:val="26"/>
        </w:rPr>
        <w:t xml:space="preserve"> </w:t>
      </w:r>
      <w:r w:rsidR="003F7BFA" w:rsidRPr="00D510BB">
        <w:rPr>
          <w:rFonts w:ascii="Calibri" w:hAnsi="Calibri" w:cs="Calibri"/>
          <w:b/>
          <w:sz w:val="26"/>
          <w:szCs w:val="26"/>
        </w:rPr>
        <w:t xml:space="preserve">činila </w:t>
      </w:r>
      <w:r w:rsidRPr="00D510BB">
        <w:rPr>
          <w:rFonts w:ascii="Calibri" w:hAnsi="Calibri" w:cs="Calibri"/>
          <w:b/>
          <w:sz w:val="26"/>
          <w:szCs w:val="26"/>
        </w:rPr>
        <w:t>11,2</w:t>
      </w:r>
      <w:r w:rsidRPr="00D510BB">
        <w:rPr>
          <w:rFonts w:ascii="Calibri" w:hAnsi="Calibri" w:cs="Calibri"/>
          <w:sz w:val="26"/>
          <w:szCs w:val="26"/>
        </w:rPr>
        <w:t> </w:t>
      </w:r>
      <w:r w:rsidRPr="00D510BB">
        <w:rPr>
          <w:rFonts w:ascii="Calibri" w:hAnsi="Calibri" w:cs="Calibri"/>
          <w:b/>
          <w:sz w:val="26"/>
          <w:szCs w:val="26"/>
        </w:rPr>
        <w:t xml:space="preserve">% </w:t>
      </w:r>
      <w:r w:rsidRPr="00D510BB">
        <w:rPr>
          <w:rFonts w:ascii="Calibri" w:hAnsi="Calibri" w:cs="Calibri"/>
          <w:sz w:val="26"/>
          <w:szCs w:val="26"/>
        </w:rPr>
        <w:t>(před</w:t>
      </w:r>
      <w:r w:rsidR="00371EB5">
        <w:rPr>
          <w:rFonts w:ascii="Calibri" w:hAnsi="Calibri" w:cs="Calibri"/>
          <w:sz w:val="26"/>
          <w:szCs w:val="26"/>
        </w:rPr>
        <w:t xml:space="preserve"> </w:t>
      </w:r>
      <w:r w:rsidRPr="00D510BB">
        <w:rPr>
          <w:rFonts w:ascii="Calibri" w:hAnsi="Calibri" w:cs="Calibri"/>
          <w:sz w:val="26"/>
          <w:szCs w:val="26"/>
        </w:rPr>
        <w:t>rokem 2,2 %);</w:t>
      </w:r>
      <w:r w:rsidRPr="00D510BB">
        <w:rPr>
          <w:rFonts w:ascii="Calibri" w:hAnsi="Calibri" w:cs="Calibri"/>
          <w:b/>
          <w:sz w:val="26"/>
          <w:szCs w:val="26"/>
        </w:rPr>
        <w:t xml:space="preserve"> </w:t>
      </w:r>
      <w:r w:rsidRPr="00D510BB">
        <w:rPr>
          <w:rFonts w:ascii="Calibri" w:hAnsi="Calibri" w:cs="Calibri"/>
          <w:bCs/>
          <w:sz w:val="26"/>
          <w:szCs w:val="26"/>
        </w:rPr>
        <w:t>hlavní příčinou</w:t>
      </w:r>
      <w:r w:rsidRPr="00D510BB">
        <w:rPr>
          <w:rFonts w:ascii="Calibri" w:hAnsi="Calibri" w:cs="Calibri"/>
          <w:sz w:val="26"/>
          <w:szCs w:val="26"/>
        </w:rPr>
        <w:t xml:space="preserve"> bylo výrazné </w:t>
      </w:r>
      <w:r w:rsidRPr="00D510BB">
        <w:rPr>
          <w:rFonts w:ascii="Calibri" w:hAnsi="Calibri" w:cs="Calibri"/>
          <w:b/>
          <w:bCs/>
          <w:sz w:val="26"/>
          <w:szCs w:val="26"/>
        </w:rPr>
        <w:t>zrychlení</w:t>
      </w:r>
      <w:r w:rsidRPr="00D510BB">
        <w:rPr>
          <w:rFonts w:ascii="Calibri" w:hAnsi="Calibri" w:cs="Calibri"/>
          <w:sz w:val="26"/>
          <w:szCs w:val="26"/>
        </w:rPr>
        <w:t xml:space="preserve"> </w:t>
      </w:r>
      <w:r w:rsidRPr="00D510BB">
        <w:rPr>
          <w:rFonts w:ascii="Calibri" w:hAnsi="Calibri" w:cs="Calibri"/>
          <w:b/>
          <w:bCs/>
          <w:sz w:val="26"/>
          <w:szCs w:val="26"/>
        </w:rPr>
        <w:t>růstu cen potravin, energií a</w:t>
      </w:r>
      <w:r w:rsidR="00371EB5">
        <w:rPr>
          <w:rFonts w:ascii="Calibri" w:hAnsi="Calibri" w:cs="Calibri"/>
          <w:b/>
          <w:bCs/>
          <w:sz w:val="26"/>
          <w:szCs w:val="26"/>
        </w:rPr>
        <w:t> </w:t>
      </w:r>
      <w:r w:rsidRPr="00D510BB">
        <w:rPr>
          <w:rFonts w:ascii="Calibri" w:hAnsi="Calibri" w:cs="Calibri"/>
          <w:b/>
          <w:bCs/>
          <w:sz w:val="26"/>
          <w:szCs w:val="26"/>
        </w:rPr>
        <w:t>plynu, imputovaného nájemného a pohonných hmot </w:t>
      </w:r>
      <w:r w:rsidRPr="00D510BB">
        <w:rPr>
          <w:rFonts w:ascii="Calibri" w:hAnsi="Calibri" w:cs="Calibri"/>
          <w:sz w:val="26"/>
          <w:szCs w:val="26"/>
        </w:rPr>
        <w:t>– blíže viz část 2.,</w:t>
      </w:r>
    </w:p>
    <w:p w14:paraId="427B2C0B" w14:textId="3BDCB13C" w:rsidR="00D510BB" w:rsidRPr="00D510BB" w:rsidRDefault="00D510BB" w:rsidP="00AE5E5B">
      <w:pPr>
        <w:numPr>
          <w:ilvl w:val="0"/>
          <w:numId w:val="16"/>
        </w:numPr>
        <w:spacing w:after="240" w:line="360" w:lineRule="auto"/>
        <w:ind w:left="360"/>
        <w:jc w:val="both"/>
        <w:rPr>
          <w:rFonts w:ascii="Calibri" w:hAnsi="Calibri" w:cs="Calibri"/>
          <w:sz w:val="26"/>
          <w:szCs w:val="26"/>
        </w:rPr>
      </w:pPr>
      <w:r w:rsidRPr="00D510BB">
        <w:rPr>
          <w:rFonts w:ascii="Calibri" w:hAnsi="Calibri" w:cs="Calibri"/>
          <w:b/>
          <w:bCs/>
          <w:sz w:val="26"/>
          <w:szCs w:val="26"/>
        </w:rPr>
        <w:t xml:space="preserve">stav </w:t>
      </w:r>
      <w:r w:rsidRPr="00D510BB">
        <w:rPr>
          <w:rFonts w:ascii="Calibri" w:hAnsi="Calibri" w:cs="Calibri"/>
          <w:bCs/>
          <w:sz w:val="26"/>
          <w:szCs w:val="26"/>
        </w:rPr>
        <w:t>bankovních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půjček se oproti minulému roku zvýšil </w:t>
      </w:r>
      <w:r w:rsidRPr="00D510BB">
        <w:rPr>
          <w:rFonts w:ascii="Calibri" w:hAnsi="Calibri" w:cs="Calibri"/>
          <w:bCs/>
          <w:sz w:val="26"/>
          <w:szCs w:val="26"/>
        </w:rPr>
        <w:t>(o 10,3 %) a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D510BB">
        <w:rPr>
          <w:rFonts w:ascii="Calibri" w:hAnsi="Calibri" w:cs="Calibri"/>
          <w:bCs/>
          <w:sz w:val="26"/>
          <w:szCs w:val="26"/>
        </w:rPr>
        <w:t>k</w:t>
      </w:r>
      <w:r w:rsidR="00371EB5">
        <w:rPr>
          <w:rFonts w:ascii="Calibri" w:hAnsi="Calibri" w:cs="Calibri"/>
          <w:bCs/>
          <w:sz w:val="26"/>
          <w:szCs w:val="26"/>
        </w:rPr>
        <w:t> </w:t>
      </w:r>
      <w:r w:rsidRPr="00D510BB">
        <w:rPr>
          <w:rFonts w:ascii="Calibri" w:hAnsi="Calibri" w:cs="Calibri"/>
          <w:bCs/>
          <w:sz w:val="26"/>
          <w:szCs w:val="26"/>
        </w:rPr>
        <w:t>31. březnu 2022 činil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2 084,8 mld. Kč;</w:t>
      </w:r>
      <w:r w:rsidRPr="00D510BB">
        <w:rPr>
          <w:rFonts w:ascii="Calibri" w:hAnsi="Calibri" w:cs="Calibri"/>
          <w:sz w:val="26"/>
          <w:szCs w:val="26"/>
        </w:rPr>
        <w:t xml:space="preserve"> rozhodující díl přírůstku nadále tvořily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úvěry na bydlení, </w:t>
      </w:r>
      <w:r w:rsidRPr="00D510BB">
        <w:rPr>
          <w:rFonts w:ascii="Calibri" w:hAnsi="Calibri" w:cs="Calibri"/>
          <w:sz w:val="26"/>
          <w:szCs w:val="26"/>
        </w:rPr>
        <w:t>které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D510BB">
        <w:rPr>
          <w:rFonts w:ascii="Calibri" w:hAnsi="Calibri" w:cs="Calibri"/>
          <w:bCs/>
          <w:sz w:val="26"/>
          <w:szCs w:val="26"/>
        </w:rPr>
        <w:t>meziročně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vzrostly o 11,1 % </w:t>
      </w:r>
      <w:r w:rsidRPr="00D510BB">
        <w:rPr>
          <w:rFonts w:ascii="Calibri" w:hAnsi="Calibri" w:cs="Calibri"/>
          <w:bCs/>
          <w:sz w:val="26"/>
          <w:szCs w:val="26"/>
        </w:rPr>
        <w:t>– viz část 3.,</w:t>
      </w:r>
    </w:p>
    <w:p w14:paraId="0A556835" w14:textId="1C882FF4" w:rsidR="00D510BB" w:rsidRPr="00D510BB" w:rsidRDefault="00D510BB" w:rsidP="00AE5E5B">
      <w:pPr>
        <w:numPr>
          <w:ilvl w:val="0"/>
          <w:numId w:val="16"/>
        </w:numPr>
        <w:spacing w:after="240" w:line="360" w:lineRule="auto"/>
        <w:ind w:left="354" w:hanging="357"/>
        <w:jc w:val="both"/>
        <w:rPr>
          <w:rFonts w:ascii="Calibri" w:hAnsi="Calibri" w:cs="Calibri"/>
          <w:sz w:val="26"/>
          <w:szCs w:val="26"/>
        </w:rPr>
      </w:pPr>
      <w:r w:rsidRPr="00D510BB">
        <w:rPr>
          <w:rFonts w:ascii="Calibri" w:hAnsi="Calibri" w:cs="Calibri"/>
          <w:bCs/>
          <w:sz w:val="26"/>
          <w:szCs w:val="26"/>
        </w:rPr>
        <w:t xml:space="preserve">celkový </w:t>
      </w:r>
      <w:r w:rsidRPr="00D510BB">
        <w:rPr>
          <w:rFonts w:ascii="Calibri" w:hAnsi="Calibri" w:cs="Calibri"/>
          <w:b/>
          <w:bCs/>
          <w:sz w:val="26"/>
          <w:szCs w:val="26"/>
        </w:rPr>
        <w:t>objem</w:t>
      </w:r>
      <w:r w:rsidRPr="00D510BB">
        <w:rPr>
          <w:rFonts w:ascii="Calibri" w:hAnsi="Calibri" w:cs="Calibri"/>
          <w:sz w:val="26"/>
          <w:szCs w:val="26"/>
        </w:rPr>
        <w:t xml:space="preserve"> bankovních </w:t>
      </w:r>
      <w:r w:rsidRPr="00D510BB">
        <w:rPr>
          <w:rFonts w:ascii="Calibri" w:hAnsi="Calibri" w:cs="Calibri"/>
          <w:b/>
          <w:sz w:val="26"/>
          <w:szCs w:val="26"/>
        </w:rPr>
        <w:t xml:space="preserve">úspor dosáhl </w:t>
      </w:r>
      <w:r w:rsidRPr="00D510BB">
        <w:rPr>
          <w:rFonts w:ascii="Calibri" w:hAnsi="Calibri" w:cs="Calibri"/>
          <w:sz w:val="26"/>
          <w:szCs w:val="26"/>
        </w:rPr>
        <w:t xml:space="preserve">podle dostupných údajů ČNB na konci prvního čtvrtletí tohoto roku 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3 281,4 mld. Kč, </w:t>
      </w:r>
      <w:r w:rsidRPr="00D510BB">
        <w:rPr>
          <w:rFonts w:ascii="Calibri" w:hAnsi="Calibri" w:cs="Calibri"/>
          <w:bCs/>
          <w:sz w:val="26"/>
          <w:szCs w:val="26"/>
        </w:rPr>
        <w:t>kdy došlo k meziročnímu nárůstu o 3,6 %;</w:t>
      </w:r>
      <w:r w:rsidRPr="00D510B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D510BB">
        <w:rPr>
          <w:rFonts w:ascii="Calibri" w:hAnsi="Calibri" w:cs="Calibri"/>
          <w:bCs/>
          <w:sz w:val="26"/>
          <w:szCs w:val="26"/>
        </w:rPr>
        <w:t>toto období bylo definováno výrazným přesunem úspor domácností z netermínovaných účtů na termínové vklady.</w:t>
      </w:r>
    </w:p>
    <w:p w14:paraId="098B744D" w14:textId="7397436B" w:rsidR="00D510BB" w:rsidRPr="00D510BB" w:rsidRDefault="00371EB5" w:rsidP="00371EB5">
      <w:pPr>
        <w:spacing w:after="240"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  <w:r w:rsidRPr="00D510BB">
        <w:rPr>
          <w:rFonts w:ascii="Calibri" w:hAnsi="Calibri" w:cs="Calibri"/>
          <w:i/>
          <w:iCs/>
          <w:sz w:val="26"/>
          <w:szCs w:val="26"/>
        </w:rPr>
        <w:lastRenderedPageBreak/>
        <w:tab/>
      </w:r>
      <w:r w:rsidR="00D510BB" w:rsidRPr="00D510BB">
        <w:rPr>
          <w:rFonts w:ascii="Calibri" w:hAnsi="Calibri" w:cs="Calibri"/>
          <w:i/>
          <w:iCs/>
          <w:sz w:val="26"/>
          <w:szCs w:val="26"/>
        </w:rPr>
        <w:t>V</w:t>
      </w:r>
      <w:r>
        <w:rPr>
          <w:rFonts w:ascii="Calibri" w:hAnsi="Calibri" w:cs="Calibri"/>
          <w:i/>
          <w:iCs/>
          <w:sz w:val="26"/>
          <w:szCs w:val="26"/>
        </w:rPr>
        <w:t> </w:t>
      </w:r>
      <w:r w:rsidR="00D510BB" w:rsidRPr="00D510BB">
        <w:rPr>
          <w:rFonts w:ascii="Calibri" w:hAnsi="Calibri" w:cs="Calibri"/>
          <w:i/>
          <w:iCs/>
          <w:sz w:val="26"/>
          <w:szCs w:val="26"/>
        </w:rPr>
        <w:t>dalších částech Zprávy je uvedena základní charakteristika a hodnocení souvislostí, které v</w:t>
      </w:r>
      <w:r>
        <w:rPr>
          <w:rFonts w:ascii="Calibri" w:hAnsi="Calibri" w:cs="Calibri"/>
          <w:i/>
          <w:iCs/>
          <w:sz w:val="26"/>
          <w:szCs w:val="26"/>
        </w:rPr>
        <w:t> </w:t>
      </w:r>
      <w:r w:rsidR="00D510BB" w:rsidRPr="00D510BB">
        <w:rPr>
          <w:rFonts w:ascii="Calibri" w:hAnsi="Calibri" w:cs="Calibri"/>
          <w:i/>
          <w:iCs/>
          <w:sz w:val="26"/>
          <w:szCs w:val="26"/>
        </w:rPr>
        <w:t>lednu</w:t>
      </w:r>
      <w:r>
        <w:rPr>
          <w:rFonts w:ascii="Calibri" w:hAnsi="Calibri" w:cs="Calibri"/>
          <w:i/>
          <w:iCs/>
          <w:sz w:val="26"/>
          <w:szCs w:val="26"/>
        </w:rPr>
        <w:t> </w:t>
      </w:r>
      <w:r w:rsidR="00D510BB" w:rsidRPr="00D510BB">
        <w:rPr>
          <w:rFonts w:ascii="Calibri" w:hAnsi="Calibri" w:cs="Calibri"/>
          <w:i/>
          <w:iCs/>
          <w:sz w:val="26"/>
          <w:szCs w:val="26"/>
        </w:rPr>
        <w:t>–</w:t>
      </w:r>
      <w:r>
        <w:rPr>
          <w:rFonts w:ascii="Calibri" w:hAnsi="Calibri" w:cs="Calibri"/>
          <w:i/>
          <w:iCs/>
          <w:sz w:val="26"/>
          <w:szCs w:val="26"/>
        </w:rPr>
        <w:t> </w:t>
      </w:r>
      <w:r w:rsidR="00D510BB" w:rsidRPr="00D510BB">
        <w:rPr>
          <w:rFonts w:ascii="Calibri" w:hAnsi="Calibri" w:cs="Calibri"/>
          <w:i/>
          <w:iCs/>
          <w:sz w:val="26"/>
          <w:szCs w:val="26"/>
        </w:rPr>
        <w:t>březnu 2022 obecně ovlivňovaly vývoj příjmů a výdajů domácností v</w:t>
      </w:r>
      <w:r>
        <w:rPr>
          <w:rFonts w:ascii="Calibri" w:hAnsi="Calibri" w:cs="Calibri"/>
          <w:i/>
          <w:iCs/>
          <w:sz w:val="26"/>
          <w:szCs w:val="26"/>
        </w:rPr>
        <w:t> </w:t>
      </w:r>
      <w:r w:rsidR="00D510BB" w:rsidRPr="00D510BB">
        <w:rPr>
          <w:rFonts w:ascii="Calibri" w:hAnsi="Calibri" w:cs="Calibri"/>
          <w:i/>
          <w:iCs/>
          <w:sz w:val="26"/>
          <w:szCs w:val="26"/>
        </w:rPr>
        <w:t xml:space="preserve">České republice. Jejím hlavním cílem je </w:t>
      </w:r>
      <w:r w:rsidR="00FB30FC" w:rsidRPr="00D510BB">
        <w:rPr>
          <w:rFonts w:ascii="Calibri" w:hAnsi="Calibri" w:cs="Calibri"/>
          <w:i/>
          <w:iCs/>
          <w:sz w:val="26"/>
          <w:szCs w:val="26"/>
        </w:rPr>
        <w:t xml:space="preserve">především </w:t>
      </w:r>
      <w:r w:rsidR="00D510BB" w:rsidRPr="00D510BB">
        <w:rPr>
          <w:rFonts w:ascii="Calibri" w:hAnsi="Calibri" w:cs="Calibri"/>
          <w:i/>
          <w:iCs/>
          <w:sz w:val="26"/>
          <w:szCs w:val="26"/>
        </w:rPr>
        <w:t>vyjádřit rozhodující tendence ve vývoji základních (dostupných) ukazatelů životní úrovně českých domácností.</w:t>
      </w:r>
    </w:p>
    <w:p w14:paraId="45F9668B" w14:textId="77777777" w:rsidR="00D510BB" w:rsidRPr="00D510BB" w:rsidRDefault="00D510BB" w:rsidP="00D510BB">
      <w:pPr>
        <w:spacing w:after="200"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  <w:r w:rsidRPr="00D510BB">
        <w:rPr>
          <w:rFonts w:ascii="Calibri" w:hAnsi="Calibri" w:cs="Calibri"/>
          <w:i/>
          <w:iCs/>
          <w:sz w:val="26"/>
          <w:szCs w:val="26"/>
        </w:rPr>
        <w:tab/>
      </w:r>
      <w:r w:rsidRPr="00D510BB">
        <w:rPr>
          <w:rFonts w:ascii="Calibri" w:hAnsi="Calibri" w:cs="Calibri"/>
          <w:b/>
          <w:bCs/>
          <w:i/>
          <w:iCs/>
          <w:sz w:val="26"/>
          <w:szCs w:val="26"/>
        </w:rPr>
        <w:t>Analýza mzdového vývoje</w:t>
      </w:r>
      <w:r w:rsidRPr="00D510BB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D510BB">
        <w:rPr>
          <w:rFonts w:ascii="Calibri" w:hAnsi="Calibri" w:cs="Calibri"/>
          <w:b/>
          <w:bCs/>
          <w:i/>
          <w:iCs/>
          <w:sz w:val="26"/>
          <w:szCs w:val="26"/>
        </w:rPr>
        <w:t>byla</w:t>
      </w:r>
      <w:r w:rsidRPr="00D510BB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D510BB">
        <w:rPr>
          <w:rFonts w:ascii="Calibri" w:hAnsi="Calibri" w:cs="Calibri"/>
          <w:b/>
          <w:bCs/>
          <w:i/>
          <w:iCs/>
          <w:sz w:val="26"/>
          <w:szCs w:val="26"/>
        </w:rPr>
        <w:t xml:space="preserve">zpracována na základě údajů Českého statistického úřadu </w:t>
      </w:r>
      <w:r w:rsidRPr="00D510BB">
        <w:rPr>
          <w:rFonts w:ascii="Calibri" w:hAnsi="Calibri" w:cs="Calibri"/>
          <w:bCs/>
          <w:i/>
          <w:iCs/>
          <w:sz w:val="26"/>
          <w:szCs w:val="26"/>
        </w:rPr>
        <w:t>(ČSÚ).</w:t>
      </w:r>
      <w:r w:rsidRPr="00D510BB">
        <w:rPr>
          <w:rFonts w:ascii="Calibri" w:hAnsi="Calibri" w:cs="Calibri"/>
          <w:i/>
          <w:iCs/>
          <w:sz w:val="26"/>
          <w:szCs w:val="26"/>
        </w:rPr>
        <w:t xml:space="preserve"> Průměrná mzda byla vykazována na přepočtené počty zaměstnanců (zohledňující délku pracovního úvazku) v celém národním hospodářství. Data za jednotlivé regiony byla získána tzv. </w:t>
      </w:r>
      <w:proofErr w:type="spellStart"/>
      <w:r w:rsidRPr="00D510BB">
        <w:rPr>
          <w:rFonts w:ascii="Calibri" w:hAnsi="Calibri" w:cs="Calibri"/>
          <w:i/>
          <w:iCs/>
          <w:sz w:val="26"/>
          <w:szCs w:val="26"/>
        </w:rPr>
        <w:t>pracovištní</w:t>
      </w:r>
      <w:proofErr w:type="spellEnd"/>
      <w:r w:rsidRPr="00D510BB">
        <w:rPr>
          <w:rFonts w:ascii="Calibri" w:hAnsi="Calibri" w:cs="Calibri"/>
          <w:i/>
          <w:iCs/>
          <w:sz w:val="26"/>
          <w:szCs w:val="26"/>
        </w:rPr>
        <w:t xml:space="preserve"> metodou – tj. podle místa skutečného pracoviště zaměstnanců.</w:t>
      </w:r>
    </w:p>
    <w:p w14:paraId="0BDFC1A9" w14:textId="77777777" w:rsidR="00D510BB" w:rsidRPr="00D510BB" w:rsidRDefault="00D510BB" w:rsidP="00D510BB">
      <w:pPr>
        <w:spacing w:after="200" w:line="360" w:lineRule="auto"/>
        <w:jc w:val="both"/>
        <w:rPr>
          <w:rFonts w:ascii="Calibri" w:hAnsi="Calibri" w:cs="Calibri"/>
          <w:b/>
          <w:bCs/>
          <w:i/>
          <w:sz w:val="26"/>
          <w:szCs w:val="26"/>
        </w:rPr>
      </w:pPr>
      <w:r w:rsidRPr="00D510BB">
        <w:rPr>
          <w:rFonts w:ascii="Calibri" w:hAnsi="Calibri" w:cs="Calibri"/>
          <w:i/>
          <w:sz w:val="26"/>
          <w:szCs w:val="26"/>
        </w:rPr>
        <w:tab/>
      </w:r>
      <w:r w:rsidRPr="00D510BB">
        <w:rPr>
          <w:rFonts w:ascii="Calibri" w:hAnsi="Calibri" w:cs="Calibri"/>
          <w:b/>
          <w:bCs/>
          <w:i/>
          <w:sz w:val="26"/>
          <w:szCs w:val="26"/>
        </w:rPr>
        <w:t>Od ČSÚ byla převzata rovněž data o hrubém domácím produktu,</w:t>
      </w:r>
      <w:r w:rsidRPr="00D510BB">
        <w:rPr>
          <w:rFonts w:ascii="Calibri" w:hAnsi="Calibri" w:cs="Calibri"/>
          <w:bCs/>
          <w:i/>
          <w:sz w:val="26"/>
          <w:szCs w:val="26"/>
        </w:rPr>
        <w:t xml:space="preserve"> </w:t>
      </w:r>
      <w:r w:rsidRPr="00D510BB">
        <w:rPr>
          <w:rFonts w:ascii="Calibri" w:hAnsi="Calibri" w:cs="Calibri"/>
          <w:b/>
          <w:bCs/>
          <w:i/>
          <w:sz w:val="26"/>
          <w:szCs w:val="26"/>
        </w:rPr>
        <w:t>statistice</w:t>
      </w:r>
      <w:r w:rsidRPr="00D510BB">
        <w:rPr>
          <w:rFonts w:ascii="Calibri" w:hAnsi="Calibri" w:cs="Calibri"/>
          <w:bCs/>
          <w:i/>
          <w:sz w:val="26"/>
          <w:szCs w:val="26"/>
        </w:rPr>
        <w:t xml:space="preserve"> </w:t>
      </w:r>
      <w:r w:rsidRPr="00D510BB">
        <w:rPr>
          <w:rFonts w:ascii="Calibri" w:hAnsi="Calibri" w:cs="Calibri"/>
          <w:b/>
          <w:bCs/>
          <w:i/>
          <w:sz w:val="26"/>
          <w:szCs w:val="26"/>
        </w:rPr>
        <w:t xml:space="preserve">národních účtů, úhrnné produktivitě práce a indexu spotřebitelských cen </w:t>
      </w:r>
      <w:r w:rsidRPr="00D510BB">
        <w:rPr>
          <w:rFonts w:ascii="Calibri" w:hAnsi="Calibri" w:cs="Calibri"/>
          <w:bCs/>
          <w:i/>
          <w:sz w:val="26"/>
          <w:szCs w:val="26"/>
        </w:rPr>
        <w:t>(životních nákladů).</w:t>
      </w:r>
    </w:p>
    <w:p w14:paraId="221517BC" w14:textId="77777777" w:rsidR="00D510BB" w:rsidRPr="00D510BB" w:rsidRDefault="00D510BB" w:rsidP="00D510BB">
      <w:pPr>
        <w:spacing w:after="240" w:line="360" w:lineRule="auto"/>
        <w:jc w:val="both"/>
        <w:rPr>
          <w:rFonts w:ascii="Calibri" w:hAnsi="Calibri" w:cs="Calibri"/>
          <w:bCs/>
          <w:i/>
          <w:sz w:val="26"/>
          <w:szCs w:val="26"/>
        </w:rPr>
      </w:pPr>
      <w:r w:rsidRPr="00D510BB">
        <w:rPr>
          <w:rFonts w:ascii="Calibri" w:hAnsi="Calibri" w:cs="Calibri"/>
          <w:b/>
          <w:bCs/>
          <w:i/>
          <w:sz w:val="26"/>
          <w:szCs w:val="26"/>
        </w:rPr>
        <w:tab/>
        <w:t>Analýza bankovních vkladů a úvěrů</w:t>
      </w:r>
      <w:r w:rsidRPr="00D510BB">
        <w:rPr>
          <w:rFonts w:ascii="Calibri" w:hAnsi="Calibri" w:cs="Calibri"/>
          <w:i/>
          <w:sz w:val="26"/>
          <w:szCs w:val="26"/>
        </w:rPr>
        <w:t xml:space="preserve"> domácností </w:t>
      </w:r>
      <w:r w:rsidRPr="00D510BB">
        <w:rPr>
          <w:rFonts w:ascii="Calibri" w:hAnsi="Calibri" w:cs="Calibri"/>
          <w:b/>
          <w:bCs/>
          <w:i/>
          <w:sz w:val="26"/>
          <w:szCs w:val="26"/>
        </w:rPr>
        <w:t xml:space="preserve">byla založena na rozboru údajů České národní banky </w:t>
      </w:r>
      <w:r w:rsidRPr="00D510BB">
        <w:rPr>
          <w:rFonts w:ascii="Calibri" w:hAnsi="Calibri" w:cs="Calibri"/>
          <w:bCs/>
          <w:i/>
          <w:sz w:val="26"/>
          <w:szCs w:val="26"/>
        </w:rPr>
        <w:t>(ČNB).</w:t>
      </w:r>
    </w:p>
    <w:p w14:paraId="1E3C48A3" w14:textId="77777777" w:rsidR="00D510BB" w:rsidRPr="00D510BB" w:rsidRDefault="00D510BB" w:rsidP="00D510BB">
      <w:pPr>
        <w:spacing w:after="240"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  <w:r w:rsidRPr="00D510BB">
        <w:rPr>
          <w:rFonts w:ascii="Calibri" w:hAnsi="Calibri" w:cs="Calibri"/>
          <w:bCs/>
          <w:i/>
          <w:sz w:val="26"/>
          <w:szCs w:val="26"/>
        </w:rPr>
        <w:tab/>
      </w:r>
      <w:r w:rsidRPr="00D510BB">
        <w:rPr>
          <w:rFonts w:ascii="Calibri" w:hAnsi="Calibri" w:cs="Calibri"/>
          <w:i/>
          <w:iCs/>
          <w:sz w:val="26"/>
          <w:szCs w:val="26"/>
        </w:rPr>
        <w:t xml:space="preserve">Při zpracování materiálu byla taktéž použita data </w:t>
      </w:r>
      <w:r w:rsidRPr="00D510BB">
        <w:rPr>
          <w:rFonts w:ascii="Calibri" w:hAnsi="Calibri" w:cs="Calibri"/>
          <w:b/>
          <w:bCs/>
          <w:i/>
          <w:sz w:val="26"/>
          <w:szCs w:val="26"/>
        </w:rPr>
        <w:t xml:space="preserve">Informačního systému o průměrném výdělku </w:t>
      </w:r>
      <w:r w:rsidRPr="00D510BB">
        <w:rPr>
          <w:rFonts w:ascii="Calibri" w:hAnsi="Calibri" w:cs="Calibri"/>
          <w:bCs/>
          <w:i/>
          <w:sz w:val="26"/>
          <w:szCs w:val="26"/>
        </w:rPr>
        <w:t>(ISPV),</w:t>
      </w:r>
      <w:r w:rsidRPr="00D510BB"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  <w:r w:rsidRPr="00D510BB">
        <w:rPr>
          <w:rFonts w:ascii="Calibri" w:hAnsi="Calibri" w:cs="Calibri"/>
          <w:i/>
          <w:sz w:val="26"/>
          <w:szCs w:val="26"/>
        </w:rPr>
        <w:t>vlastní</w:t>
      </w:r>
      <w:r w:rsidRPr="00D510BB">
        <w:rPr>
          <w:rFonts w:ascii="Calibri" w:hAnsi="Calibri" w:cs="Calibri"/>
          <w:sz w:val="26"/>
          <w:szCs w:val="26"/>
        </w:rPr>
        <w:t xml:space="preserve"> </w:t>
      </w:r>
      <w:r w:rsidRPr="00D510BB">
        <w:rPr>
          <w:rFonts w:ascii="Calibri" w:hAnsi="Calibri" w:cs="Calibri"/>
          <w:b/>
          <w:bCs/>
          <w:i/>
          <w:sz w:val="26"/>
          <w:szCs w:val="26"/>
        </w:rPr>
        <w:t xml:space="preserve">databáze resortu práce a sociálních věcí </w:t>
      </w:r>
      <w:r w:rsidRPr="00D510BB">
        <w:rPr>
          <w:rFonts w:ascii="Calibri" w:hAnsi="Calibri" w:cs="Calibri"/>
          <w:i/>
          <w:sz w:val="26"/>
          <w:szCs w:val="26"/>
        </w:rPr>
        <w:t>a</w:t>
      </w:r>
      <w:r w:rsidRPr="00D510BB">
        <w:rPr>
          <w:rFonts w:ascii="Calibri" w:hAnsi="Calibri" w:cs="Calibri"/>
          <w:b/>
          <w:bCs/>
          <w:i/>
          <w:sz w:val="26"/>
          <w:szCs w:val="26"/>
        </w:rPr>
        <w:t xml:space="preserve"> České správy sociálního zabezpečení </w:t>
      </w:r>
      <w:r w:rsidRPr="00D510BB">
        <w:rPr>
          <w:rFonts w:ascii="Calibri" w:hAnsi="Calibri" w:cs="Calibri"/>
          <w:bCs/>
          <w:i/>
          <w:sz w:val="26"/>
          <w:szCs w:val="26"/>
        </w:rPr>
        <w:t>(ČSSZ).</w:t>
      </w:r>
    </w:p>
    <w:p w14:paraId="09BB57AE" w14:textId="77777777" w:rsidR="00D510BB" w:rsidRPr="00D510BB" w:rsidRDefault="00D510BB" w:rsidP="00D510BB">
      <w:pPr>
        <w:spacing w:after="240"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  <w:r w:rsidRPr="00D510BB">
        <w:rPr>
          <w:rFonts w:ascii="Calibri" w:hAnsi="Calibri" w:cs="Calibri"/>
          <w:i/>
          <w:iCs/>
          <w:sz w:val="26"/>
          <w:szCs w:val="26"/>
        </w:rPr>
        <w:tab/>
        <w:t>Širší zhodnocení vývoje příjmové a výdajové situace domácností bude – při zohlednění výše uvedených skutečností – předmětem analýzy za 1. pololetí 2022, která bude zveřejněna koncem října letošního roku.</w:t>
      </w:r>
    </w:p>
    <w:p w14:paraId="731F661B" w14:textId="68F8AB71" w:rsidR="00D510BB" w:rsidRDefault="00D510BB" w:rsidP="00D510BB">
      <w:pPr>
        <w:spacing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26D5F3CE" w14:textId="78F6F2EF" w:rsidR="00AE5E5B" w:rsidRDefault="00AE5E5B" w:rsidP="00D510BB">
      <w:pPr>
        <w:spacing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34D2B782" w14:textId="77777777" w:rsidR="00AE5E5B" w:rsidRPr="00D510BB" w:rsidRDefault="00AE5E5B" w:rsidP="00D510BB">
      <w:pPr>
        <w:spacing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169D06FB" w14:textId="77777777" w:rsidR="00D510BB" w:rsidRPr="00D510BB" w:rsidRDefault="00D510BB" w:rsidP="00D510BB">
      <w:pPr>
        <w:rPr>
          <w:rFonts w:ascii="Calibri" w:hAnsi="Calibri" w:cs="Calibri"/>
        </w:rPr>
      </w:pPr>
      <w:r w:rsidRPr="00D510BB">
        <w:rPr>
          <w:rFonts w:ascii="Calibri" w:hAnsi="Calibri" w:cs="Calibri"/>
          <w:i/>
          <w:iCs/>
          <w:sz w:val="26"/>
          <w:szCs w:val="26"/>
          <w:u w:val="single"/>
        </w:rPr>
        <w:t>Zpráva obsahuje data platná k 15. červenci 2022.</w:t>
      </w:r>
    </w:p>
    <w:p w14:paraId="185EA0AC" w14:textId="77777777" w:rsidR="00A539EE" w:rsidRPr="00AA590D" w:rsidRDefault="00A539EE" w:rsidP="00A539EE">
      <w:pPr>
        <w:pStyle w:val="Odstavecseseznamem"/>
        <w:numPr>
          <w:ilvl w:val="0"/>
          <w:numId w:val="7"/>
        </w:numPr>
      </w:pPr>
      <w:r w:rsidRPr="00AA590D">
        <w:br w:type="page"/>
      </w:r>
    </w:p>
    <w:p w14:paraId="05B65CAF" w14:textId="43995A14" w:rsidR="008F09FF" w:rsidRDefault="008F09FF" w:rsidP="00A539EE">
      <w:pPr>
        <w:pStyle w:val="Nadpis1"/>
        <w:numPr>
          <w:ilvl w:val="0"/>
          <w:numId w:val="2"/>
        </w:numPr>
        <w:spacing w:after="360" w:line="240" w:lineRule="auto"/>
        <w:ind w:left="567" w:hanging="567"/>
        <w:rPr>
          <w:rFonts w:asciiTheme="minorHAnsi" w:hAnsiTheme="minorHAnsi"/>
          <w:smallCaps/>
          <w:color w:val="1F497D"/>
          <w:sz w:val="44"/>
        </w:rPr>
      </w:pPr>
      <w:r>
        <w:rPr>
          <w:rFonts w:asciiTheme="minorHAnsi" w:hAnsiTheme="minorHAnsi"/>
          <w:smallCaps/>
          <w:color w:val="1F497D"/>
          <w:sz w:val="44"/>
        </w:rPr>
        <w:lastRenderedPageBreak/>
        <w:t>Příjmy domácností</w:t>
      </w:r>
    </w:p>
    <w:p w14:paraId="680820CF" w14:textId="0372DBC7" w:rsidR="00100DA4" w:rsidRPr="00DF3005" w:rsidRDefault="008F09FF" w:rsidP="00A539EE">
      <w:pPr>
        <w:pStyle w:val="Nadpis1"/>
        <w:numPr>
          <w:ilvl w:val="1"/>
          <w:numId w:val="2"/>
        </w:numPr>
        <w:spacing w:after="360" w:line="240" w:lineRule="auto"/>
        <w:rPr>
          <w:rFonts w:asciiTheme="minorHAnsi" w:hAnsiTheme="minorHAnsi"/>
          <w:smallCaps/>
          <w:color w:val="1F497D"/>
          <w:sz w:val="40"/>
          <w:szCs w:val="18"/>
        </w:rPr>
      </w:pPr>
      <w:r w:rsidRPr="00DF3005">
        <w:rPr>
          <w:rFonts w:asciiTheme="minorHAnsi" w:hAnsiTheme="minorHAnsi"/>
          <w:smallCaps/>
          <w:color w:val="1F497D"/>
          <w:sz w:val="40"/>
          <w:szCs w:val="18"/>
        </w:rPr>
        <w:t>Základní charakteristika</w:t>
      </w:r>
    </w:p>
    <w:p w14:paraId="1E90EB9B" w14:textId="77777777" w:rsidR="003339FA" w:rsidRPr="00C30F6B" w:rsidRDefault="003339FA" w:rsidP="003339FA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tab/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Běžné příjmy </w:t>
      </w:r>
      <w:r w:rsidRPr="00C30F6B">
        <w:rPr>
          <w:rFonts w:asciiTheme="minorHAnsi" w:hAnsiTheme="minorHAnsi" w:cs="Arial"/>
          <w:sz w:val="26"/>
          <w:szCs w:val="26"/>
        </w:rPr>
        <w:t>sektoru domácností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sz w:val="26"/>
          <w:szCs w:val="26"/>
        </w:rPr>
        <w:t>(podle statistiky národních účtů)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dosáhly </w:t>
      </w:r>
      <w:r w:rsidRPr="00C30F6B">
        <w:rPr>
          <w:rFonts w:asciiTheme="minorHAnsi" w:hAnsiTheme="minorHAnsi" w:cs="Arial"/>
          <w:sz w:val="26"/>
          <w:szCs w:val="26"/>
        </w:rPr>
        <w:t xml:space="preserve">celkové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výše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1 </w:t>
      </w:r>
      <w:r>
        <w:rPr>
          <w:rFonts w:asciiTheme="minorHAnsi" w:hAnsiTheme="minorHAnsi" w:cs="Arial"/>
          <w:b/>
          <w:bCs/>
          <w:sz w:val="26"/>
          <w:szCs w:val="26"/>
        </w:rPr>
        <w:t>356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,</w:t>
      </w:r>
      <w:r>
        <w:rPr>
          <w:rFonts w:asciiTheme="minorHAnsi" w:hAnsiTheme="minorHAnsi" w:cs="Arial"/>
          <w:b/>
          <w:bCs/>
          <w:sz w:val="26"/>
          <w:szCs w:val="26"/>
        </w:rPr>
        <w:t>3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 mld. Kč.</w:t>
      </w:r>
      <w:r w:rsidRPr="00C30F6B">
        <w:rPr>
          <w:rFonts w:asciiTheme="minorHAnsi" w:hAnsiTheme="minorHAnsi" w:cs="Arial"/>
          <w:sz w:val="26"/>
          <w:szCs w:val="26"/>
        </w:rPr>
        <w:t xml:space="preserve"> Meziročně tak </w:t>
      </w:r>
      <w:r w:rsidRPr="00C30F6B">
        <w:rPr>
          <w:rFonts w:asciiTheme="minorHAnsi" w:hAnsiTheme="minorHAnsi" w:cs="Arial"/>
          <w:b/>
          <w:sz w:val="26"/>
          <w:szCs w:val="26"/>
        </w:rPr>
        <w:t>vzrostly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nominálně o </w:t>
      </w:r>
      <w:r>
        <w:rPr>
          <w:rFonts w:asciiTheme="minorHAnsi" w:hAnsiTheme="minorHAnsi" w:cs="Arial"/>
          <w:b/>
          <w:bCs/>
          <w:sz w:val="26"/>
          <w:szCs w:val="26"/>
        </w:rPr>
        <w:t>13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,</w:t>
      </w:r>
      <w:r>
        <w:rPr>
          <w:rFonts w:asciiTheme="minorHAnsi" w:hAnsiTheme="minorHAnsi" w:cs="Arial"/>
          <w:b/>
          <w:bCs/>
          <w:sz w:val="26"/>
          <w:szCs w:val="26"/>
        </w:rPr>
        <w:t>7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 % </w:t>
      </w:r>
      <w:r w:rsidRPr="00C30F6B">
        <w:rPr>
          <w:rFonts w:asciiTheme="minorHAnsi" w:hAnsiTheme="minorHAnsi" w:cs="Arial"/>
          <w:bCs/>
          <w:sz w:val="26"/>
          <w:szCs w:val="26"/>
        </w:rPr>
        <w:t>(+</w:t>
      </w:r>
      <w:r>
        <w:rPr>
          <w:rFonts w:asciiTheme="minorHAnsi" w:hAnsiTheme="minorHAnsi" w:cs="Arial"/>
          <w:bCs/>
          <w:sz w:val="26"/>
          <w:szCs w:val="26"/>
        </w:rPr>
        <w:t>162</w:t>
      </w:r>
      <w:r w:rsidRPr="00C30F6B">
        <w:rPr>
          <w:rFonts w:asciiTheme="minorHAnsi" w:hAnsiTheme="minorHAnsi" w:cs="Arial"/>
          <w:bCs/>
          <w:sz w:val="26"/>
          <w:szCs w:val="26"/>
        </w:rPr>
        <w:t>,</w:t>
      </w:r>
      <w:r>
        <w:rPr>
          <w:rFonts w:asciiTheme="minorHAnsi" w:hAnsiTheme="minorHAnsi" w:cs="Arial"/>
          <w:bCs/>
          <w:sz w:val="26"/>
          <w:szCs w:val="26"/>
        </w:rPr>
        <w:t>9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 mld. Kč)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a reálně o </w:t>
      </w:r>
      <w:r>
        <w:rPr>
          <w:rFonts w:asciiTheme="minorHAnsi" w:hAnsiTheme="minorHAnsi" w:cs="Arial"/>
          <w:b/>
          <w:bCs/>
          <w:sz w:val="26"/>
          <w:szCs w:val="26"/>
        </w:rPr>
        <w:t>2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,</w:t>
      </w:r>
      <w:r>
        <w:rPr>
          <w:rFonts w:asciiTheme="minorHAnsi" w:hAnsiTheme="minorHAnsi" w:cs="Arial"/>
          <w:b/>
          <w:bCs/>
          <w:sz w:val="26"/>
          <w:szCs w:val="26"/>
        </w:rPr>
        <w:t>2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 %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 (při </w:t>
      </w:r>
      <w:r>
        <w:rPr>
          <w:rFonts w:asciiTheme="minorHAnsi" w:hAnsiTheme="minorHAnsi" w:cs="Arial"/>
          <w:bCs/>
          <w:sz w:val="26"/>
          <w:szCs w:val="26"/>
        </w:rPr>
        <w:t>růst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u hrubého domácího produktu ve stálých cenách o </w:t>
      </w:r>
      <w:r>
        <w:rPr>
          <w:rFonts w:asciiTheme="minorHAnsi" w:hAnsiTheme="minorHAnsi" w:cs="Arial"/>
          <w:bCs/>
          <w:sz w:val="26"/>
          <w:szCs w:val="26"/>
        </w:rPr>
        <w:t>4</w:t>
      </w:r>
      <w:r w:rsidRPr="00C30F6B">
        <w:rPr>
          <w:rFonts w:asciiTheme="minorHAnsi" w:hAnsiTheme="minorHAnsi" w:cs="Arial"/>
          <w:bCs/>
          <w:sz w:val="26"/>
          <w:szCs w:val="26"/>
        </w:rPr>
        <w:t>,</w:t>
      </w:r>
      <w:r>
        <w:rPr>
          <w:rFonts w:asciiTheme="minorHAnsi" w:hAnsiTheme="minorHAnsi" w:cs="Arial"/>
          <w:bCs/>
          <w:sz w:val="26"/>
          <w:szCs w:val="26"/>
        </w:rPr>
        <w:t>9</w:t>
      </w:r>
      <w:r w:rsidRPr="00C30F6B">
        <w:rPr>
          <w:rFonts w:asciiTheme="minorHAnsi" w:hAnsiTheme="minorHAnsi" w:cs="Arial"/>
          <w:bCs/>
          <w:sz w:val="26"/>
          <w:szCs w:val="26"/>
        </w:rPr>
        <w:t> %)</w:t>
      </w:r>
      <w:r w:rsidRPr="00C30F6B">
        <w:rPr>
          <w:rFonts w:asciiTheme="minorHAnsi" w:hAnsiTheme="minorHAnsi" w:cs="Arial"/>
          <w:sz w:val="26"/>
          <w:szCs w:val="26"/>
        </w:rPr>
        <w:t>.</w:t>
      </w:r>
    </w:p>
    <w:p w14:paraId="38AB4D62" w14:textId="4B1C4DB9" w:rsidR="003339FA" w:rsidRPr="00C30F6B" w:rsidRDefault="003339FA" w:rsidP="003339FA">
      <w:pPr>
        <w:spacing w:after="240"/>
        <w:ind w:left="708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 w:cs="Arial"/>
          <w:b/>
          <w:bCs/>
          <w:sz w:val="26"/>
          <w:szCs w:val="26"/>
        </w:rPr>
        <w:t>Na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reálném růstu</w:t>
      </w:r>
      <w:r w:rsidRPr="00C30F6B">
        <w:rPr>
          <w:rFonts w:asciiTheme="minorHAnsi" w:hAnsiTheme="minorHAnsi" w:cs="Arial"/>
          <w:sz w:val="26"/>
          <w:szCs w:val="26"/>
        </w:rPr>
        <w:t xml:space="preserve"> úhrnného objemu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běžných příjmů </w:t>
      </w:r>
      <w:r w:rsidRPr="00C30F6B">
        <w:rPr>
          <w:rFonts w:asciiTheme="minorHAnsi" w:hAnsiTheme="minorHAnsi" w:cs="Arial"/>
          <w:b/>
          <w:sz w:val="26"/>
          <w:szCs w:val="26"/>
        </w:rPr>
        <w:t>se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394A15">
        <w:rPr>
          <w:rFonts w:asciiTheme="minorHAnsi" w:hAnsiTheme="minorHAnsi" w:cs="Arial"/>
          <w:b/>
          <w:bCs/>
          <w:sz w:val="26"/>
          <w:szCs w:val="26"/>
        </w:rPr>
        <w:t>největší měrou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podílely </w:t>
      </w:r>
      <w:r w:rsidRPr="00C30F6B">
        <w:rPr>
          <w:rFonts w:asciiTheme="minorHAnsi" w:hAnsiTheme="minorHAnsi" w:cs="Arial"/>
          <w:b/>
          <w:sz w:val="26"/>
          <w:szCs w:val="26"/>
        </w:rPr>
        <w:t>ostatní běžné transfery </w:t>
      </w:r>
      <w:r w:rsidRPr="00C30F6B">
        <w:rPr>
          <w:rFonts w:asciiTheme="minorHAnsi" w:hAnsiTheme="minorHAnsi" w:cs="Arial"/>
          <w:sz w:val="26"/>
          <w:szCs w:val="26"/>
        </w:rPr>
        <w:t>– jedná se o náhrady z neživotního pojištění, výhry ze sázek a loterií apod. (</w:t>
      </w:r>
      <w:r>
        <w:rPr>
          <w:rFonts w:asciiTheme="minorHAnsi" w:hAnsiTheme="minorHAnsi" w:cs="Arial"/>
          <w:sz w:val="26"/>
          <w:szCs w:val="26"/>
        </w:rPr>
        <w:t xml:space="preserve">+58,6 </w:t>
      </w:r>
      <w:r w:rsidRPr="00C30F6B">
        <w:rPr>
          <w:rFonts w:asciiTheme="minorHAnsi" w:hAnsiTheme="minorHAnsi" w:cs="Arial"/>
          <w:sz w:val="26"/>
          <w:szCs w:val="26"/>
        </w:rPr>
        <w:t>%)</w:t>
      </w:r>
      <w:r w:rsidRPr="00C30F6B">
        <w:rPr>
          <w:rFonts w:asciiTheme="minorHAnsi" w:hAnsiTheme="minorHAnsi" w:cs="Arial"/>
          <w:bCs/>
          <w:sz w:val="26"/>
          <w:szCs w:val="26"/>
        </w:rPr>
        <w:t>. V menší míře pak</w:t>
      </w:r>
      <w:r w:rsidRPr="00C30F6B">
        <w:rPr>
          <w:rFonts w:asciiTheme="minorHAnsi" w:hAnsiTheme="minorHAnsi" w:cs="Arial"/>
          <w:sz w:val="26"/>
          <w:szCs w:val="26"/>
        </w:rPr>
        <w:t xml:space="preserve"> na něm participoval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smíšený důchod</w:t>
      </w:r>
      <w:r w:rsidRPr="00C30F6B">
        <w:rPr>
          <w:rFonts w:asciiTheme="minorHAnsi" w:hAnsiTheme="minorHAnsi" w:cs="Arial"/>
          <w:sz w:val="26"/>
          <w:szCs w:val="26"/>
        </w:rPr>
        <w:t xml:space="preserve"> – zahrnující zejména příjmy z podnikatelských aktivit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sz w:val="26"/>
          <w:szCs w:val="26"/>
        </w:rPr>
        <w:t>(+</w:t>
      </w:r>
      <w:r>
        <w:rPr>
          <w:rFonts w:asciiTheme="minorHAnsi" w:hAnsiTheme="minorHAnsi" w:cs="Arial"/>
          <w:sz w:val="26"/>
          <w:szCs w:val="26"/>
        </w:rPr>
        <w:t>11</w:t>
      </w:r>
      <w:r w:rsidRPr="00C30F6B">
        <w:rPr>
          <w:rFonts w:asciiTheme="minorHAnsi" w:hAnsiTheme="minorHAnsi" w:cs="Arial"/>
          <w:sz w:val="26"/>
          <w:szCs w:val="26"/>
        </w:rPr>
        <w:t>,</w:t>
      </w:r>
      <w:r>
        <w:rPr>
          <w:rFonts w:asciiTheme="minorHAnsi" w:hAnsiTheme="minorHAnsi" w:cs="Arial"/>
          <w:sz w:val="26"/>
          <w:szCs w:val="26"/>
        </w:rPr>
        <w:t>8</w:t>
      </w:r>
      <w:r w:rsidRPr="00C30F6B">
        <w:rPr>
          <w:rFonts w:asciiTheme="minorHAnsi" w:hAnsiTheme="minorHAnsi" w:cs="Arial"/>
          <w:sz w:val="26"/>
          <w:szCs w:val="26"/>
        </w:rPr>
        <w:t> %)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. </w:t>
      </w:r>
      <w:r w:rsidRPr="00394A15">
        <w:rPr>
          <w:rFonts w:asciiTheme="minorHAnsi" w:hAnsiTheme="minorHAnsi" w:cs="Arial"/>
          <w:b/>
          <w:sz w:val="26"/>
          <w:szCs w:val="26"/>
        </w:rPr>
        <w:t>Reálný pokles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 zaznamenaly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sz w:val="26"/>
          <w:szCs w:val="26"/>
        </w:rPr>
        <w:t>sociální dávky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Cs/>
          <w:sz w:val="26"/>
          <w:szCs w:val="26"/>
        </w:rPr>
        <w:t>(</w:t>
      </w:r>
      <w:r w:rsidR="00A82D07">
        <w:rPr>
          <w:rFonts w:asciiTheme="minorHAnsi" w:hAnsiTheme="minorHAnsi" w:cs="Arial"/>
          <w:bCs/>
          <w:sz w:val="26"/>
          <w:szCs w:val="26"/>
        </w:rPr>
        <w:t>-</w:t>
      </w:r>
      <w:r>
        <w:rPr>
          <w:rFonts w:asciiTheme="minorHAnsi" w:hAnsiTheme="minorHAnsi" w:cs="Arial"/>
          <w:bCs/>
          <w:sz w:val="26"/>
          <w:szCs w:val="26"/>
        </w:rPr>
        <w:t>7</w:t>
      </w:r>
      <w:r w:rsidRPr="00C30F6B">
        <w:rPr>
          <w:rFonts w:asciiTheme="minorHAnsi" w:hAnsiTheme="minorHAnsi" w:cs="Arial"/>
          <w:bCs/>
          <w:sz w:val="26"/>
          <w:szCs w:val="26"/>
        </w:rPr>
        <w:t>,</w:t>
      </w:r>
      <w:r>
        <w:rPr>
          <w:rFonts w:asciiTheme="minorHAnsi" w:hAnsiTheme="minorHAnsi" w:cs="Arial"/>
          <w:bCs/>
          <w:sz w:val="26"/>
          <w:szCs w:val="26"/>
        </w:rPr>
        <w:t>1</w:t>
      </w:r>
      <w:r w:rsidRPr="00C30F6B">
        <w:rPr>
          <w:rFonts w:asciiTheme="minorHAnsi" w:hAnsiTheme="minorHAnsi" w:cs="Arial"/>
          <w:bCs/>
          <w:sz w:val="26"/>
          <w:szCs w:val="26"/>
        </w:rPr>
        <w:t> %)</w:t>
      </w:r>
      <w:r>
        <w:rPr>
          <w:rFonts w:asciiTheme="minorHAnsi" w:hAnsiTheme="minorHAnsi" w:cs="Arial"/>
          <w:bCs/>
          <w:sz w:val="26"/>
          <w:szCs w:val="26"/>
        </w:rPr>
        <w:t xml:space="preserve">, </w:t>
      </w:r>
      <w:r w:rsidRPr="00394A15">
        <w:rPr>
          <w:rFonts w:asciiTheme="minorHAnsi" w:hAnsiTheme="minorHAnsi" w:cs="Arial"/>
          <w:b/>
          <w:sz w:val="26"/>
          <w:szCs w:val="26"/>
        </w:rPr>
        <w:t>náhrady zaměstnancům</w:t>
      </w:r>
      <w:r>
        <w:rPr>
          <w:rFonts w:asciiTheme="minorHAnsi" w:hAnsiTheme="minorHAnsi" w:cs="Arial"/>
          <w:bCs/>
          <w:sz w:val="26"/>
          <w:szCs w:val="26"/>
        </w:rPr>
        <w:t xml:space="preserve"> a</w:t>
      </w:r>
      <w:r>
        <w:rPr>
          <w:rFonts w:asciiTheme="minorHAnsi" w:hAnsiTheme="minorHAnsi" w:cs="Arial"/>
          <w:b/>
          <w:bCs/>
          <w:sz w:val="26"/>
          <w:szCs w:val="26"/>
        </w:rPr>
        <w:t> důchody z vlastnictví</w:t>
      </w:r>
      <w:r>
        <w:rPr>
          <w:rFonts w:asciiTheme="minorHAnsi" w:hAnsiTheme="minorHAnsi" w:cs="Arial"/>
          <w:sz w:val="26"/>
          <w:szCs w:val="26"/>
        </w:rPr>
        <w:t xml:space="preserve"> (-0,9 %, resp. -16,5 %).</w:t>
      </w:r>
    </w:p>
    <w:p w14:paraId="1EC48BA9" w14:textId="77777777" w:rsidR="003339FA" w:rsidRPr="00C30F6B" w:rsidRDefault="003339FA" w:rsidP="003339FA">
      <w:pPr>
        <w:spacing w:after="240"/>
        <w:ind w:left="708"/>
        <w:jc w:val="both"/>
        <w:rPr>
          <w:rFonts w:asciiTheme="minorHAnsi" w:hAnsiTheme="minorHAnsi" w:cs="Arial"/>
          <w:sz w:val="26"/>
          <w:szCs w:val="26"/>
        </w:rPr>
      </w:pPr>
    </w:p>
    <w:p w14:paraId="752E8AD0" w14:textId="77777777" w:rsidR="003339FA" w:rsidRPr="00C30F6B" w:rsidRDefault="003339FA" w:rsidP="003339FA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  <w:t xml:space="preserve">Po odpočtu běžných výdajů (především daní z příjmů a příspěvků na sociální a zdravotní pojištění) zůstal sektoru domácností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úhrnný disponibilní důchod </w:t>
      </w:r>
      <w:r w:rsidRPr="00C30F6B">
        <w:rPr>
          <w:rFonts w:asciiTheme="minorHAnsi" w:hAnsiTheme="minorHAnsi" w:cs="Arial"/>
          <w:sz w:val="26"/>
          <w:szCs w:val="26"/>
        </w:rPr>
        <w:t xml:space="preserve">v částce </w:t>
      </w:r>
      <w:r>
        <w:rPr>
          <w:rFonts w:asciiTheme="minorHAnsi" w:hAnsiTheme="minorHAnsi" w:cs="Arial"/>
          <w:b/>
          <w:bCs/>
          <w:sz w:val="26"/>
          <w:szCs w:val="26"/>
        </w:rPr>
        <w:t>861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,</w:t>
      </w:r>
      <w:r>
        <w:rPr>
          <w:rFonts w:asciiTheme="minorHAnsi" w:hAnsiTheme="minorHAnsi" w:cs="Arial"/>
          <w:b/>
          <w:bCs/>
          <w:sz w:val="26"/>
          <w:szCs w:val="26"/>
        </w:rPr>
        <w:t>9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 mld. Kč,</w:t>
      </w:r>
      <w:r w:rsidRPr="00C30F6B">
        <w:rPr>
          <w:rFonts w:asciiTheme="minorHAnsi" w:hAnsiTheme="minorHAnsi" w:cs="Arial"/>
          <w:sz w:val="26"/>
          <w:szCs w:val="26"/>
        </w:rPr>
        <w:t xml:space="preserve"> což bylo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reálně o </w:t>
      </w:r>
      <w:r>
        <w:rPr>
          <w:rFonts w:asciiTheme="minorHAnsi" w:hAnsiTheme="minorHAnsi" w:cs="Arial"/>
          <w:b/>
          <w:bCs/>
          <w:sz w:val="26"/>
          <w:szCs w:val="26"/>
        </w:rPr>
        <w:t>1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,</w:t>
      </w:r>
      <w:r>
        <w:rPr>
          <w:rFonts w:asciiTheme="minorHAnsi" w:hAnsiTheme="minorHAnsi" w:cs="Arial"/>
          <w:b/>
          <w:bCs/>
          <w:sz w:val="26"/>
          <w:szCs w:val="26"/>
        </w:rPr>
        <w:t>3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 % </w:t>
      </w:r>
      <w:r>
        <w:rPr>
          <w:rFonts w:asciiTheme="minorHAnsi" w:hAnsiTheme="minorHAnsi" w:cs="Arial"/>
          <w:b/>
          <w:bCs/>
          <w:sz w:val="26"/>
          <w:szCs w:val="26"/>
        </w:rPr>
        <w:t>méně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sz w:val="26"/>
          <w:szCs w:val="26"/>
        </w:rPr>
        <w:t xml:space="preserve">než ve srovnatelném loňském období (kdy se kupní síla jeho objemu meziročně zvýšila o </w:t>
      </w:r>
      <w:r>
        <w:rPr>
          <w:rFonts w:asciiTheme="minorHAnsi" w:hAnsiTheme="minorHAnsi" w:cs="Arial"/>
          <w:sz w:val="26"/>
          <w:szCs w:val="26"/>
        </w:rPr>
        <w:t>1</w:t>
      </w:r>
      <w:r w:rsidRPr="00C30F6B">
        <w:rPr>
          <w:rFonts w:asciiTheme="minorHAnsi" w:hAnsiTheme="minorHAnsi" w:cs="Arial"/>
          <w:sz w:val="26"/>
          <w:szCs w:val="26"/>
        </w:rPr>
        <w:t>,</w:t>
      </w:r>
      <w:r>
        <w:rPr>
          <w:rFonts w:asciiTheme="minorHAnsi" w:hAnsiTheme="minorHAnsi" w:cs="Arial"/>
          <w:sz w:val="26"/>
          <w:szCs w:val="26"/>
        </w:rPr>
        <w:t>4</w:t>
      </w:r>
      <w:r w:rsidRPr="00C30F6B">
        <w:rPr>
          <w:rFonts w:asciiTheme="minorHAnsi" w:hAnsiTheme="minorHAnsi" w:cs="Arial"/>
          <w:sz w:val="26"/>
          <w:szCs w:val="26"/>
        </w:rPr>
        <w:t> %).</w:t>
      </w:r>
    </w:p>
    <w:p w14:paraId="15904527" w14:textId="77777777" w:rsidR="003339FA" w:rsidRPr="00C30F6B" w:rsidRDefault="003339FA" w:rsidP="003339FA">
      <w:pPr>
        <w:spacing w:after="24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</w:r>
      <w:r w:rsidRPr="00C30F6B">
        <w:rPr>
          <w:rFonts w:asciiTheme="minorHAnsi" w:hAnsiTheme="minorHAnsi" w:cs="Arial"/>
          <w:b/>
          <w:sz w:val="26"/>
          <w:szCs w:val="26"/>
        </w:rPr>
        <w:t>Relace disponibilního důchodu k objemu hrubého domácího produktu</w:t>
      </w:r>
      <w:r w:rsidRPr="00C30F6B">
        <w:rPr>
          <w:rFonts w:asciiTheme="minorHAnsi" w:hAnsiTheme="minorHAnsi" w:cs="Arial"/>
          <w:sz w:val="26"/>
          <w:szCs w:val="26"/>
        </w:rPr>
        <w:t xml:space="preserve"> (v běžných cenách) meziročně </w:t>
      </w:r>
      <w:r>
        <w:rPr>
          <w:rFonts w:asciiTheme="minorHAnsi" w:hAnsiTheme="minorHAnsi" w:cs="Arial"/>
          <w:b/>
          <w:sz w:val="26"/>
          <w:szCs w:val="26"/>
        </w:rPr>
        <w:t>pokles</w:t>
      </w:r>
      <w:r w:rsidRPr="00C30F6B">
        <w:rPr>
          <w:rFonts w:asciiTheme="minorHAnsi" w:hAnsiTheme="minorHAnsi" w:cs="Arial"/>
          <w:b/>
          <w:sz w:val="26"/>
          <w:szCs w:val="26"/>
        </w:rPr>
        <w:t>la</w:t>
      </w:r>
      <w:r w:rsidRPr="00C30F6B">
        <w:rPr>
          <w:rFonts w:asciiTheme="minorHAnsi" w:hAnsiTheme="minorHAnsi" w:cs="Arial"/>
          <w:sz w:val="26"/>
          <w:szCs w:val="26"/>
        </w:rPr>
        <w:t xml:space="preserve"> o </w:t>
      </w:r>
      <w:r>
        <w:rPr>
          <w:rFonts w:asciiTheme="minorHAnsi" w:hAnsiTheme="minorHAnsi" w:cs="Arial"/>
          <w:sz w:val="26"/>
          <w:szCs w:val="26"/>
        </w:rPr>
        <w:t>0</w:t>
      </w:r>
      <w:r w:rsidRPr="00C30F6B">
        <w:rPr>
          <w:rFonts w:asciiTheme="minorHAnsi" w:hAnsiTheme="minorHAnsi" w:cs="Arial"/>
          <w:sz w:val="26"/>
          <w:szCs w:val="26"/>
        </w:rPr>
        <w:t>,</w:t>
      </w:r>
      <w:r>
        <w:rPr>
          <w:rFonts w:asciiTheme="minorHAnsi" w:hAnsiTheme="minorHAnsi" w:cs="Arial"/>
          <w:sz w:val="26"/>
          <w:szCs w:val="26"/>
        </w:rPr>
        <w:t>6</w:t>
      </w:r>
      <w:r w:rsidRPr="00C30F6B">
        <w:rPr>
          <w:rFonts w:asciiTheme="minorHAnsi" w:hAnsiTheme="minorHAnsi" w:cs="Arial"/>
          <w:sz w:val="26"/>
          <w:szCs w:val="26"/>
        </w:rPr>
        <w:t xml:space="preserve"> p. b. na </w:t>
      </w:r>
      <w:r w:rsidRPr="00C30F6B">
        <w:rPr>
          <w:rFonts w:asciiTheme="minorHAnsi" w:hAnsiTheme="minorHAnsi" w:cs="Arial"/>
          <w:b/>
          <w:sz w:val="26"/>
          <w:szCs w:val="26"/>
        </w:rPr>
        <w:t>5</w:t>
      </w:r>
      <w:r>
        <w:rPr>
          <w:rFonts w:asciiTheme="minorHAnsi" w:hAnsiTheme="minorHAnsi" w:cs="Arial"/>
          <w:b/>
          <w:sz w:val="26"/>
          <w:szCs w:val="26"/>
        </w:rPr>
        <w:t>2</w:t>
      </w:r>
      <w:r w:rsidRPr="00C30F6B">
        <w:rPr>
          <w:rFonts w:asciiTheme="minorHAnsi" w:hAnsiTheme="minorHAnsi" w:cs="Arial"/>
          <w:b/>
          <w:sz w:val="26"/>
          <w:szCs w:val="26"/>
        </w:rPr>
        <w:t>,</w:t>
      </w:r>
      <w:r>
        <w:rPr>
          <w:rFonts w:asciiTheme="minorHAnsi" w:hAnsiTheme="minorHAnsi" w:cs="Arial"/>
          <w:b/>
          <w:sz w:val="26"/>
          <w:szCs w:val="26"/>
        </w:rPr>
        <w:t>6</w:t>
      </w:r>
      <w:r w:rsidRPr="00C30F6B">
        <w:rPr>
          <w:rFonts w:asciiTheme="minorHAnsi" w:hAnsiTheme="minorHAnsi" w:cs="Arial"/>
          <w:b/>
          <w:sz w:val="26"/>
          <w:szCs w:val="26"/>
        </w:rPr>
        <w:t> %.</w:t>
      </w:r>
    </w:p>
    <w:p w14:paraId="1D25BE57" w14:textId="77777777" w:rsidR="003339FA" w:rsidRPr="00B727CF" w:rsidRDefault="003339FA" w:rsidP="003339FA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  <w:t>Podrobnější číselné údaje o vývoji ukazatelů v sektoru domácností jsou součástí tabulky č. 1 v příloze.</w:t>
      </w:r>
    </w:p>
    <w:p w14:paraId="38259F56" w14:textId="165E70E0" w:rsidR="00D80B84" w:rsidRDefault="00D80B84" w:rsidP="008A4D7F">
      <w:pPr>
        <w:spacing w:line="360" w:lineRule="auto"/>
        <w:jc w:val="both"/>
        <w:rPr>
          <w:rFonts w:asciiTheme="minorHAnsi" w:hAnsiTheme="minorHAnsi"/>
        </w:rPr>
      </w:pPr>
    </w:p>
    <w:p w14:paraId="401CF18E" w14:textId="77777777" w:rsidR="00D80B84" w:rsidRPr="00C30F6B" w:rsidRDefault="00D80B84" w:rsidP="008A4D7F">
      <w:pPr>
        <w:spacing w:line="360" w:lineRule="auto"/>
        <w:jc w:val="both"/>
        <w:rPr>
          <w:rFonts w:asciiTheme="minorHAnsi" w:hAnsiTheme="minorHAnsi"/>
        </w:rPr>
      </w:pPr>
    </w:p>
    <w:p w14:paraId="5DDD27AB" w14:textId="77777777" w:rsidR="00E15CAD" w:rsidRPr="002F23BA" w:rsidRDefault="00E15CAD" w:rsidP="00E15CAD">
      <w:r w:rsidRPr="004471FB">
        <w:rPr>
          <w:color w:val="FF0000"/>
        </w:rPr>
        <w:br w:type="page"/>
      </w:r>
    </w:p>
    <w:p w14:paraId="76BC47F2" w14:textId="2EC4A06A" w:rsidR="008F09FF" w:rsidRPr="00DF3005" w:rsidRDefault="008F09FF" w:rsidP="00A539EE">
      <w:pPr>
        <w:pStyle w:val="Nadpis1"/>
        <w:numPr>
          <w:ilvl w:val="1"/>
          <w:numId w:val="2"/>
        </w:numPr>
        <w:spacing w:after="360" w:line="240" w:lineRule="auto"/>
        <w:rPr>
          <w:rFonts w:asciiTheme="minorHAnsi" w:hAnsiTheme="minorHAnsi"/>
          <w:smallCaps/>
          <w:color w:val="1F497D"/>
          <w:sz w:val="40"/>
          <w:szCs w:val="18"/>
        </w:rPr>
      </w:pPr>
      <w:r w:rsidRPr="00DF3005">
        <w:rPr>
          <w:rFonts w:asciiTheme="minorHAnsi" w:hAnsiTheme="minorHAnsi"/>
          <w:smallCaps/>
          <w:color w:val="1F497D"/>
          <w:sz w:val="40"/>
          <w:szCs w:val="18"/>
        </w:rPr>
        <w:lastRenderedPageBreak/>
        <w:t>Mzdy</w:t>
      </w:r>
    </w:p>
    <w:p w14:paraId="0140751F" w14:textId="77777777" w:rsidR="00DF3005" w:rsidRPr="00DF3005" w:rsidRDefault="00DF3005" w:rsidP="00DF3005">
      <w:pPr>
        <w:spacing w:after="240" w:line="360" w:lineRule="auto"/>
        <w:jc w:val="both"/>
        <w:rPr>
          <w:rFonts w:ascii="Calibri" w:eastAsia="Calibri" w:hAnsi="Calibri" w:cs="Arial"/>
          <w:sz w:val="26"/>
          <w:szCs w:val="26"/>
          <w:lang w:eastAsia="en-US"/>
        </w:rPr>
      </w:pPr>
      <w:r w:rsidRPr="00DF3005">
        <w:rPr>
          <w:rFonts w:ascii="Calibri" w:hAnsi="Calibri" w:cs="Calibri"/>
          <w:sz w:val="26"/>
          <w:szCs w:val="26"/>
        </w:rPr>
        <w:tab/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Rozhodující část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peněžních 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příjmů domácností tvořily mzdy.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Celkový 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objem mzdových prostředků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(bez ostatních osobních nákladů) zúčtovaný všem zaměstnancům k výplatě za celé národní hospodářství 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v 1. čtvrtletí 2022 činil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454,5 mld. Kč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a byl tak nominálně 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o 8,4 % vyšší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než ve stejném období předchozího roku.</w:t>
      </w:r>
    </w:p>
    <w:p w14:paraId="20D9D3E5" w14:textId="3CBCCA78" w:rsidR="00DF3005" w:rsidRPr="00DF3005" w:rsidRDefault="00DF3005" w:rsidP="00DF3005">
      <w:pPr>
        <w:spacing w:after="240" w:line="360" w:lineRule="auto"/>
        <w:jc w:val="both"/>
        <w:rPr>
          <w:rFonts w:ascii="Calibri" w:eastAsia="Calibri" w:hAnsi="Calibri" w:cs="Arial"/>
          <w:bCs/>
          <w:i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ab/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Průměrná hrubá měsíční nominální mzda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na přepočtené počty zaměstnanců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v národním hospodářství dosáhla v 1. čtvrtletí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letošního roku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výše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37 929 Kč,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což představovalo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meziroční nominální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nárůst o 7,2 %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>, tj. o 2 533 Kč více než ve stejném období předchozího roku. Do relativně významné dynamiky nominální průměrné mzdy v hodnoceném období se v</w:t>
      </w:r>
      <w:r w:rsidR="00380318">
        <w:rPr>
          <w:rFonts w:ascii="Calibri" w:eastAsia="Calibri" w:hAnsi="Calibri" w:cs="Arial"/>
          <w:bCs/>
          <w:iCs/>
          <w:sz w:val="26"/>
          <w:szCs w:val="26"/>
          <w:lang w:eastAsia="en-US"/>
        </w:rPr>
        <w:t> 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meziročním srovnání nepřímo ještě promítl vliv omezujících opatření ekonomické aktivity, která brzdila mzdový růst v 1. čtvrtletí loňského roku v souvislosti s koronavirovou pandemií (průměrná nominální mzda v tomto období vzrostla pouze o 1,8 %). </w:t>
      </w:r>
      <w:r w:rsidRPr="00DF3005">
        <w:rPr>
          <w:rFonts w:ascii="Calibri" w:eastAsia="Calibri" w:hAnsi="Calibri" w:cs="Arial"/>
          <w:b/>
          <w:iCs/>
          <w:sz w:val="26"/>
          <w:szCs w:val="26"/>
          <w:lang w:eastAsia="en-US"/>
        </w:rPr>
        <w:t>Příznačná pro mzdový vývoj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v 1. čtvrtletí letošního roku </w:t>
      </w:r>
      <w:r w:rsidRPr="00DF3005">
        <w:rPr>
          <w:rFonts w:ascii="Calibri" w:eastAsia="Calibri" w:hAnsi="Calibri" w:cs="Arial"/>
          <w:b/>
          <w:iCs/>
          <w:sz w:val="26"/>
          <w:szCs w:val="26"/>
          <w:lang w:eastAsia="en-US"/>
        </w:rPr>
        <w:t>však byla stoupající míra inflace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, která dosáhla dvouciferné hodnoty, </w:t>
      </w:r>
      <w:r w:rsidRPr="00DF3005">
        <w:rPr>
          <w:rFonts w:ascii="Calibri" w:eastAsia="Calibri" w:hAnsi="Calibri" w:cs="Arial"/>
          <w:b/>
          <w:iCs/>
          <w:sz w:val="26"/>
          <w:szCs w:val="26"/>
          <w:lang w:eastAsia="en-US"/>
        </w:rPr>
        <w:t>převýšila tak nominální nárůst průměrné mzdy a zcela zásadně ovlivnila průměrnou reálnou mzdu.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Po zohlednění vlivu nárůstu spotřebitelských cen</w:t>
      </w:r>
      <w:r w:rsidRPr="00DF3005">
        <w:rPr>
          <w:rFonts w:ascii="Calibri" w:eastAsia="Calibri" w:hAnsi="Calibri" w:cs="Arial"/>
          <w:b/>
          <w:iCs/>
          <w:sz w:val="26"/>
          <w:szCs w:val="26"/>
          <w:lang w:eastAsia="en-US"/>
        </w:rPr>
        <w:t xml:space="preserve"> o 11,2 %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(ve stejném období roku 2021 spotřebitelské ceny vzrostly o 2,2 %) meziročně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poklesla průměrná reálná mzda o 3,6 % 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– souhrnný přehled viz tabulku č. 2 v příloze. Jednalo se </w:t>
      </w:r>
      <w:r w:rsidRPr="00DF3005">
        <w:rPr>
          <w:rFonts w:ascii="Calibri" w:eastAsia="Calibri" w:hAnsi="Calibri" w:cs="Arial"/>
          <w:b/>
          <w:iCs/>
          <w:sz w:val="26"/>
          <w:szCs w:val="26"/>
          <w:lang w:eastAsia="en-US"/>
        </w:rPr>
        <w:t>historicky o vůbec největší propad kupní síly průměrné mzdy od roku 2000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>, tj.</w:t>
      </w:r>
      <w:r w:rsidR="00380318">
        <w:rPr>
          <w:rFonts w:ascii="Calibri" w:eastAsia="Calibri" w:hAnsi="Calibri" w:cs="Arial"/>
          <w:bCs/>
          <w:iCs/>
          <w:sz w:val="26"/>
          <w:szCs w:val="26"/>
          <w:lang w:eastAsia="en-US"/>
        </w:rPr>
        <w:t> 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>za dobu existence metodicky srovnatelné časové řady o vývoji průměrné mzdy.</w:t>
      </w:r>
    </w:p>
    <w:p w14:paraId="5FA2C36B" w14:textId="77777777" w:rsidR="00DF3005" w:rsidRPr="00DF3005" w:rsidRDefault="00DF3005" w:rsidP="00DF3005">
      <w:pPr>
        <w:spacing w:after="240" w:line="360" w:lineRule="auto"/>
        <w:jc w:val="both"/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ab/>
        <w:t>Medián mezd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(prostřední hodnota mzdového rozdělení), který je odvozen ze statisticko-matematického modelu vycházejícího z výběrového šetření Informačního systému o průměrném výdělku MPSV,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dosáhl v 1. čtvrtletí</w:t>
      </w:r>
      <w:r w:rsidRPr="00DF3005">
        <w:rPr>
          <w:rFonts w:ascii="Calibri" w:eastAsia="Calibri" w:hAnsi="Calibri" w:cs="Arial"/>
          <w:iCs/>
          <w:sz w:val="26"/>
          <w:szCs w:val="26"/>
          <w:lang w:eastAsia="en-US"/>
        </w:rPr>
        <w:t xml:space="preserve"> letošního roku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úrovně 31 923 Kč a vzrostl proti stejnému období předchozího roku nominálně o 6,6 %, reálně však poklesl o 4,1 %. 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Na rozdíl od průměrné mzdy není medián ovlivněn extrémními hodnotami a nedochází tak k jeho zkreslení o tyto údaje; proto bývá pro 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lastRenderedPageBreak/>
        <w:t xml:space="preserve">hodnocení mzdového vývoje považován za výstižnější. Medián mezd žen činil 29 262 Kč, medián mezd mužů byl o 5 100 Kč vyšší a dosáhl úrovně 34 362 Kč.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Medián mezd byl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ve sledovaném období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nižší o 6 006 Kč než průměrná mzda.</w:t>
      </w:r>
    </w:p>
    <w:p w14:paraId="022FD34D" w14:textId="77777777" w:rsidR="00DF3005" w:rsidRPr="00DF3005" w:rsidRDefault="00DF3005" w:rsidP="00DF3005">
      <w:pPr>
        <w:spacing w:after="360" w:line="259" w:lineRule="auto"/>
        <w:ind w:left="851"/>
        <w:jc w:val="both"/>
        <w:rPr>
          <w:rFonts w:ascii="Calibri" w:eastAsia="Calibri" w:hAnsi="Calibri" w:cs="Arial"/>
          <w:b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>Informační systém o průměrném výdělku, který na základě výběrového šetření doplňuje mzdové statistiky ČSÚ, poskytuje řadu detailnějších statistik o mzdách (platech) zaměstnanců. Největší rozdíl mezi průměrnou mzdou a mediánem byl zaznamenán ve mzdové sféře v odvětví „peněžnictví a pojišťovnictví“ – 19 403 Kč, což svědčí o výrazných rozdílech ve mzdách jednotlivých zaměstnanců tohoto odvětví. Opačná situace, tedy velmi malá diferenciace platů, byla pozorována u odvětví „vzdělávání“ platové sféry, ve které byl medián platu o 209 Kč vyšší než průměrný plat a činil 36 747 Kč. Uvedená velmi nízká diferenciace platů byla zapříčiněna zaměstnaneckou strukturou, kde většinu tvoří kvalifikovaní vysokoškolsky vzdělaní zaměstnanci, kteří měli plat vyšší než zbývající část zaměstnanců.</w:t>
      </w:r>
    </w:p>
    <w:p w14:paraId="7FC9F0A8" w14:textId="77777777" w:rsidR="00DF3005" w:rsidRPr="00DF3005" w:rsidRDefault="00DF3005" w:rsidP="00AE5E5B">
      <w:pPr>
        <w:spacing w:after="240" w:line="360" w:lineRule="auto"/>
        <w:jc w:val="both"/>
        <w:rPr>
          <w:rFonts w:ascii="Calibri" w:eastAsia="Calibri" w:hAnsi="Calibri" w:cs="Arial"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ab/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Výše průměrné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>měsíční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mzdy zaměstnanců pracujících v malých firmách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(subjekty s méně než 20 zaměstnanci) 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 xml:space="preserve">v 1. čtvrtletí 2022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činila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 xml:space="preserve"> 28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 726 Kč, tj. 75,7 %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celospolečenského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výdělkového průměru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,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v porovnání se stejným obdobím roku 2021 došlo v důsledku vyšší dynamiky mezd v malých firmách ke zvýšení tohoto podílu (o 2,0 p. b.) 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>– viz tabulku č. 3 v příloze.</w:t>
      </w:r>
    </w:p>
    <w:p w14:paraId="01226C60" w14:textId="77777777" w:rsidR="00DF3005" w:rsidRPr="00DF3005" w:rsidRDefault="00DF3005" w:rsidP="00AE5E5B">
      <w:pPr>
        <w:spacing w:line="360" w:lineRule="auto"/>
        <w:jc w:val="both"/>
        <w:rPr>
          <w:rFonts w:ascii="Calibri" w:eastAsia="Calibri" w:hAnsi="Calibri" w:cs="Arial"/>
          <w:b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ab/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 xml:space="preserve">Vývoj mezd v 1. čtvrtletí 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letošního roku 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charakterizovaly zejména následující skutečnosti:</w:t>
      </w:r>
    </w:p>
    <w:p w14:paraId="20A4555A" w14:textId="77777777" w:rsidR="00DF3005" w:rsidRPr="00AE5E5B" w:rsidRDefault="00DF3005" w:rsidP="00AE5E5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Arial"/>
          <w:bCs/>
          <w:sz w:val="26"/>
          <w:szCs w:val="26"/>
          <w:lang w:eastAsia="en-US"/>
        </w:rPr>
      </w:pPr>
      <w:r w:rsidRPr="00AE5E5B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poměrně významný nárůst </w:t>
      </w:r>
      <w:r w:rsidRPr="00AE5E5B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meziroční </w:t>
      </w:r>
      <w:r w:rsidRPr="00AE5E5B">
        <w:rPr>
          <w:rFonts w:ascii="Calibri" w:eastAsia="Calibri" w:hAnsi="Calibri" w:cs="Arial"/>
          <w:b/>
          <w:bCs/>
          <w:sz w:val="26"/>
          <w:szCs w:val="26"/>
          <w:lang w:eastAsia="en-US"/>
        </w:rPr>
        <w:t>průměrné nominální mzdy</w:t>
      </w:r>
      <w:r w:rsidRPr="00AE5E5B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v národním hospodářství,</w:t>
      </w:r>
    </w:p>
    <w:p w14:paraId="5B6B1332" w14:textId="77777777" w:rsidR="00DF3005" w:rsidRPr="00AE5E5B" w:rsidRDefault="00DF3005" w:rsidP="00AE5E5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Arial"/>
          <w:bCs/>
          <w:sz w:val="26"/>
          <w:szCs w:val="26"/>
          <w:lang w:eastAsia="en-US"/>
        </w:rPr>
      </w:pPr>
      <w:r w:rsidRPr="00AE5E5B">
        <w:rPr>
          <w:rFonts w:ascii="Calibri" w:eastAsia="Calibri" w:hAnsi="Calibri" w:cs="Arial"/>
          <w:b/>
          <w:bCs/>
          <w:sz w:val="26"/>
          <w:szCs w:val="26"/>
          <w:lang w:eastAsia="en-US"/>
        </w:rPr>
        <w:t>pokles kupní síly výdělků zaměstnanců</w:t>
      </w:r>
      <w:r w:rsidRPr="00AE5E5B">
        <w:rPr>
          <w:rFonts w:ascii="Calibri" w:eastAsia="Calibri" w:hAnsi="Calibri" w:cs="Arial"/>
          <w:sz w:val="26"/>
          <w:szCs w:val="26"/>
          <w:lang w:eastAsia="en-US"/>
        </w:rPr>
        <w:t xml:space="preserve"> v souvislosti s meziročně stoupající mírou cenové inflace, která zaznamenala nebývale vysokých hodnot,</w:t>
      </w:r>
    </w:p>
    <w:p w14:paraId="35CC3EAB" w14:textId="77777777" w:rsidR="00DF3005" w:rsidRPr="00AE5E5B" w:rsidRDefault="00DF3005" w:rsidP="00AE5E5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Arial"/>
          <w:bCs/>
          <w:sz w:val="26"/>
          <w:szCs w:val="26"/>
          <w:lang w:eastAsia="en-US"/>
        </w:rPr>
      </w:pPr>
      <w:r w:rsidRPr="00AE5E5B">
        <w:rPr>
          <w:rFonts w:ascii="Calibri" w:eastAsia="Calibri" w:hAnsi="Calibri" w:cs="Arial"/>
          <w:b/>
          <w:bCs/>
          <w:sz w:val="26"/>
          <w:szCs w:val="26"/>
          <w:lang w:eastAsia="en-US"/>
        </w:rPr>
        <w:t>růst produktivity práce</w:t>
      </w:r>
      <w:r w:rsidRPr="00AE5E5B">
        <w:rPr>
          <w:rFonts w:ascii="Calibri" w:eastAsia="Calibri" w:hAnsi="Calibri" w:cs="Arial"/>
          <w:sz w:val="26"/>
          <w:szCs w:val="26"/>
          <w:lang w:eastAsia="en-US"/>
        </w:rPr>
        <w:t>, který byl</w:t>
      </w:r>
      <w:r w:rsidRPr="00AE5E5B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doprovázen poklesem </w:t>
      </w:r>
      <w:r w:rsidRPr="00AE5E5B">
        <w:rPr>
          <w:rFonts w:ascii="Calibri" w:eastAsia="Calibri" w:hAnsi="Calibri" w:cs="Arial"/>
          <w:b/>
          <w:sz w:val="26"/>
          <w:szCs w:val="26"/>
          <w:lang w:eastAsia="en-US"/>
        </w:rPr>
        <w:t xml:space="preserve">průměrné reálné </w:t>
      </w:r>
      <w:r w:rsidRPr="00AE5E5B">
        <w:rPr>
          <w:rFonts w:ascii="Calibri" w:eastAsia="Calibri" w:hAnsi="Calibri" w:cs="Arial"/>
          <w:b/>
          <w:bCs/>
          <w:sz w:val="26"/>
          <w:szCs w:val="26"/>
          <w:lang w:eastAsia="en-US"/>
        </w:rPr>
        <w:t>mzdy</w:t>
      </w:r>
      <w:r w:rsidRPr="00AE5E5B">
        <w:rPr>
          <w:rFonts w:ascii="Calibri" w:eastAsia="Calibri" w:hAnsi="Calibri" w:cs="Arial"/>
          <w:b/>
          <w:sz w:val="26"/>
          <w:szCs w:val="26"/>
          <w:lang w:eastAsia="en-US"/>
        </w:rPr>
        <w:t>,</w:t>
      </w:r>
    </w:p>
    <w:p w14:paraId="778CEBA7" w14:textId="77777777" w:rsidR="00DF3005" w:rsidRPr="00AE5E5B" w:rsidRDefault="00DF3005" w:rsidP="00AE5E5B">
      <w:pPr>
        <w:pStyle w:val="Odstavecseseznamem"/>
        <w:numPr>
          <w:ilvl w:val="0"/>
          <w:numId w:val="24"/>
        </w:numPr>
        <w:spacing w:after="240" w:line="360" w:lineRule="auto"/>
        <w:ind w:left="357" w:hanging="357"/>
        <w:jc w:val="both"/>
        <w:rPr>
          <w:rFonts w:ascii="Calibri" w:eastAsia="Calibri" w:hAnsi="Calibri" w:cs="Arial"/>
          <w:bCs/>
          <w:sz w:val="26"/>
          <w:szCs w:val="26"/>
          <w:lang w:eastAsia="en-US"/>
        </w:rPr>
      </w:pPr>
      <w:r w:rsidRPr="00AE5E5B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mírné </w:t>
      </w:r>
      <w:r w:rsidRPr="00AE5E5B">
        <w:rPr>
          <w:rFonts w:ascii="Calibri" w:eastAsia="Calibri" w:hAnsi="Calibri" w:cs="Arial"/>
          <w:b/>
          <w:bCs/>
          <w:sz w:val="26"/>
          <w:szCs w:val="26"/>
          <w:lang w:eastAsia="en-US"/>
        </w:rPr>
        <w:t>zvýšení</w:t>
      </w:r>
      <w:r w:rsidRPr="00AE5E5B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jak </w:t>
      </w:r>
      <w:r w:rsidRPr="00AE5E5B">
        <w:rPr>
          <w:rFonts w:ascii="Calibri" w:eastAsia="Calibri" w:hAnsi="Calibri" w:cs="Arial"/>
          <w:b/>
          <w:bCs/>
          <w:sz w:val="26"/>
          <w:szCs w:val="26"/>
          <w:lang w:eastAsia="en-US"/>
        </w:rPr>
        <w:t>meziodvětvové diferenciace</w:t>
      </w:r>
      <w:r w:rsidRPr="00AE5E5B">
        <w:rPr>
          <w:rFonts w:ascii="Calibri" w:eastAsia="Calibri" w:hAnsi="Calibri" w:cs="Arial"/>
          <w:sz w:val="26"/>
          <w:szCs w:val="26"/>
          <w:lang w:eastAsia="en-US"/>
        </w:rPr>
        <w:t xml:space="preserve">, </w:t>
      </w:r>
      <w:r w:rsidRPr="00AE5E5B">
        <w:rPr>
          <w:rFonts w:ascii="Calibri" w:eastAsia="Calibri" w:hAnsi="Calibri" w:cs="Arial"/>
          <w:bCs/>
          <w:sz w:val="26"/>
          <w:szCs w:val="26"/>
          <w:lang w:eastAsia="en-US"/>
        </w:rPr>
        <w:t>tak i</w:t>
      </w:r>
      <w:r w:rsidRPr="00AE5E5B">
        <w:rPr>
          <w:rFonts w:ascii="Calibri" w:eastAsia="Calibri" w:hAnsi="Calibri" w:cs="Arial"/>
          <w:b/>
          <w:sz w:val="26"/>
          <w:szCs w:val="26"/>
          <w:lang w:eastAsia="en-US"/>
        </w:rPr>
        <w:t xml:space="preserve"> </w:t>
      </w:r>
      <w:r w:rsidRPr="00AE5E5B">
        <w:rPr>
          <w:rFonts w:ascii="Calibri" w:eastAsia="Calibri" w:hAnsi="Calibri" w:cs="Arial"/>
          <w:b/>
          <w:bCs/>
          <w:sz w:val="26"/>
          <w:szCs w:val="26"/>
          <w:lang w:eastAsia="en-US"/>
        </w:rPr>
        <w:t>územní diferenciace mezd zaměstnanců.</w:t>
      </w:r>
    </w:p>
    <w:p w14:paraId="74395515" w14:textId="17DE9830" w:rsidR="00DF3005" w:rsidRPr="00DF3005" w:rsidRDefault="00DF3005" w:rsidP="00AE5E5B">
      <w:pPr>
        <w:spacing w:after="240" w:line="360" w:lineRule="auto"/>
        <w:jc w:val="both"/>
        <w:rPr>
          <w:rFonts w:ascii="Calibri" w:eastAsia="Calibri" w:hAnsi="Calibri" w:cs="Arial"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ab/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>Ve srovnání s 1. čtvrtletím 2021 byl (průměrný) pokles reálné hodnoty mezd ve sledovaném období o 3,2 p. b. vyšší.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 Na snížení kupní síly mezd se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v hodnoceném 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lastRenderedPageBreak/>
        <w:t xml:space="preserve">období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podílela výrazně vyšší míra cenové inflace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(o 9,0 p. b. vyšší ve srovnání se stejným obdobím předchozího roku; podrobněji viz část 2</w:t>
      </w:r>
      <w:r w:rsidR="00FB30FC">
        <w:rPr>
          <w:rFonts w:ascii="Calibri" w:eastAsia="Calibri" w:hAnsi="Calibri"/>
          <w:bCs/>
          <w:sz w:val="26"/>
          <w:szCs w:val="26"/>
          <w:lang w:eastAsia="en-US"/>
        </w:rPr>
        <w:t>.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materiálu).</w:t>
      </w:r>
      <w:r w:rsidRPr="00DF3005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Nárůst průměrné reálné mzdy byl zaznamenán pouze ve 2 z 19 </w:t>
      </w:r>
      <w:r w:rsidRPr="00DF3005">
        <w:rPr>
          <w:rFonts w:ascii="Calibri" w:eastAsia="Calibri" w:hAnsi="Calibri"/>
          <w:sz w:val="26"/>
          <w:szCs w:val="26"/>
          <w:lang w:eastAsia="en-US"/>
        </w:rPr>
        <w:t xml:space="preserve">sledovaných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odvětvových agregací CZ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noBreakHyphen/>
        <w:t>NACE a v regionálním členění došlo ve všech 14 krajích k poklesu průměrné reálné mzdy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sz w:val="26"/>
          <w:szCs w:val="26"/>
          <w:lang w:eastAsia="en-US"/>
        </w:rPr>
        <w:t>(viz dále).</w:t>
      </w:r>
    </w:p>
    <w:p w14:paraId="56820ABA" w14:textId="77777777" w:rsidR="00DF3005" w:rsidRPr="00DF3005" w:rsidRDefault="00DF3005" w:rsidP="00AE5E5B">
      <w:pPr>
        <w:spacing w:after="240" w:line="360" w:lineRule="auto"/>
        <w:jc w:val="both"/>
        <w:rPr>
          <w:rFonts w:ascii="Calibri" w:eastAsia="Calibri" w:hAnsi="Calibri" w:cs="Arial"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ab/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Propad kupní síly výdělků byl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v hodnoceném období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 xml:space="preserve"> doprovázen růstem produktivity práce.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Dynamika úhrnné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produktivity práce 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>(v pojetí hrubého domácího produktu ve stálých cenách na 1 pracovníka v národním hospodářství)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vzrostla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meziročně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o 3,3 %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a byla o 6,9 p. b. vyšší, než činil pokles průměrné reálné mzdy. Vývoj produktivity práce nabral vzestupný směr a došlo ke zvýšení jejího předstihu před dynamikou průměrné reálné mzdy. Podrobný vývoj za jednotlivá čtvrtletí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viz graf č. 1 v příloze.</w:t>
      </w:r>
    </w:p>
    <w:p w14:paraId="55E26466" w14:textId="3F1E18AF" w:rsidR="00DF3005" w:rsidRPr="00DF3005" w:rsidRDefault="00DF3005" w:rsidP="00AE5E5B">
      <w:pPr>
        <w:spacing w:after="240" w:line="360" w:lineRule="auto"/>
        <w:jc w:val="both"/>
        <w:rPr>
          <w:rFonts w:ascii="Calibri" w:eastAsia="Calibri" w:hAnsi="Calibri" w:cs="Arial"/>
          <w:b/>
          <w:b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ab/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 xml:space="preserve">Relace </w:t>
      </w:r>
      <w:r w:rsidRPr="00DF3005">
        <w:rPr>
          <w:rFonts w:ascii="Calibri" w:eastAsia="Calibri" w:hAnsi="Calibri"/>
          <w:sz w:val="26"/>
          <w:szCs w:val="26"/>
          <w:lang w:eastAsia="en-US"/>
        </w:rPr>
        <w:t>produktivity práce a mezd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 xml:space="preserve"> se promítla do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vývoje jednotkových mzdových nákladů,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sz w:val="26"/>
          <w:szCs w:val="26"/>
          <w:lang w:eastAsia="en-US"/>
        </w:rPr>
        <w:t>které se v meziročním pohledu za leden </w:t>
      </w:r>
      <w:r w:rsidRPr="00DF3005">
        <w:rPr>
          <w:rFonts w:ascii="Calibri" w:eastAsia="Calibri" w:hAnsi="Calibri"/>
          <w:sz w:val="26"/>
          <w:szCs w:val="26"/>
          <w:lang w:eastAsia="en-US"/>
        </w:rPr>
        <w:noBreakHyphen/>
        <w:t xml:space="preserve"> březen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 xml:space="preserve">zvýšily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nominálně o 3,8 %</w:t>
      </w:r>
      <w:r w:rsidR="00FB30FC">
        <w:rPr>
          <w:rFonts w:ascii="Calibri" w:eastAsia="Calibri" w:hAnsi="Calibri" w:cs="Arial"/>
          <w:b/>
          <w:bCs/>
          <w:sz w:val="26"/>
          <w:szCs w:val="26"/>
          <w:lang w:eastAsia="en-US"/>
        </w:rPr>
        <w:t>,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 reálně však poklesly o 6,7 %. Nárůst mezd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tedy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nepředstavoval riziko 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>z pohledu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 udržení konkurenceschopnosti tuzemské produkce.</w:t>
      </w:r>
    </w:p>
    <w:p w14:paraId="69328D4C" w14:textId="77777777" w:rsidR="00DF3005" w:rsidRPr="00DF3005" w:rsidRDefault="00DF3005" w:rsidP="00AE5E5B">
      <w:pPr>
        <w:spacing w:after="240" w:line="360" w:lineRule="auto"/>
        <w:jc w:val="both"/>
        <w:rPr>
          <w:rFonts w:ascii="Calibri" w:eastAsia="Calibri" w:hAnsi="Calibri" w:cs="Arial"/>
          <w:b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ab/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Reálná hodnota objemu mzdových prostředků </w:t>
      </w:r>
      <w:r w:rsidRPr="00DF3005">
        <w:rPr>
          <w:rFonts w:ascii="Calibri" w:eastAsia="Calibri" w:hAnsi="Calibri"/>
          <w:sz w:val="26"/>
          <w:szCs w:val="26"/>
          <w:lang w:eastAsia="en-US"/>
        </w:rPr>
        <w:t>zúčtovaných k výplatě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poklesla </w:t>
      </w:r>
      <w:r w:rsidRPr="00DF3005">
        <w:rPr>
          <w:rFonts w:ascii="Calibri" w:eastAsia="Calibri" w:hAnsi="Calibri"/>
          <w:sz w:val="26"/>
          <w:szCs w:val="26"/>
          <w:lang w:eastAsia="en-US"/>
        </w:rPr>
        <w:t>oproti 1. čtvrtletí 2021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 o 2,5 %, mzdová náročnost HDP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sz w:val="26"/>
          <w:szCs w:val="26"/>
          <w:lang w:eastAsia="en-US"/>
        </w:rPr>
        <w:t xml:space="preserve">(relace objemu mzdových prostředků k objemu hrubého domácího produktu v běžných cenách)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 xml:space="preserve">se </w:t>
      </w:r>
      <w:r w:rsidRPr="00DF3005">
        <w:rPr>
          <w:rFonts w:ascii="Calibri" w:eastAsia="Calibri" w:hAnsi="Calibri"/>
          <w:sz w:val="26"/>
          <w:szCs w:val="26"/>
          <w:lang w:eastAsia="en-US"/>
        </w:rPr>
        <w:t xml:space="preserve">ve stejném porovnání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snížila</w:t>
      </w:r>
      <w:r w:rsidRPr="00DF3005">
        <w:rPr>
          <w:rFonts w:ascii="Calibri" w:eastAsia="Calibri" w:hAnsi="Calibri"/>
          <w:sz w:val="26"/>
          <w:szCs w:val="26"/>
          <w:lang w:eastAsia="en-US"/>
        </w:rPr>
        <w:t xml:space="preserve"> o 0,7 p. b.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na 27,7 %.</w:t>
      </w:r>
    </w:p>
    <w:p w14:paraId="53637A32" w14:textId="721AC2F4" w:rsidR="00DF3005" w:rsidRPr="00DF3005" w:rsidRDefault="00DF3005" w:rsidP="00DF3005">
      <w:pPr>
        <w:spacing w:after="360" w:line="259" w:lineRule="auto"/>
        <w:ind w:left="709"/>
        <w:jc w:val="both"/>
        <w:rPr>
          <w:rFonts w:ascii="Calibri" w:eastAsia="Calibri" w:hAnsi="Calibri" w:cs="Arial"/>
          <w:b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iCs/>
          <w:sz w:val="26"/>
          <w:szCs w:val="26"/>
          <w:lang w:eastAsia="en-US"/>
        </w:rPr>
        <w:t xml:space="preserve">Část mezd, které svým zaměstnancům dlužili zaměstnavatelé v platební neschopnosti, 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jim byla vyplacena Úřadem práce ČR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na základě zákona 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č. 118/2000 Sb.,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o ochraně zaměstnanců při platební neschopnosti zaměstnavatele 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a o změně některých zákonů, ve znění pozdějších předpisů. 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Celkem bylo takto 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 xml:space="preserve">k 31. 3. 2022 poskytnuto 23,0 mil. Kč 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(o 10,3 mil. Kč méně než k 31. 3. 2021), z toho nejvíce </w:t>
      </w:r>
      <w:r w:rsidR="00FB30FC">
        <w:rPr>
          <w:rFonts w:ascii="Calibri" w:eastAsia="Calibri" w:hAnsi="Calibri" w:cs="Arial"/>
          <w:bCs/>
          <w:sz w:val="26"/>
          <w:szCs w:val="26"/>
          <w:lang w:eastAsia="en-US"/>
        </w:rPr>
        <w:t>v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>e Středočeském kraji (5,9 mil. Kč), v hl. m. Praze (4,8 mil. Kč), Královéhradeckém kraji (2,7 mil. Kč), v Jihomoravském kraji (2,5 mil. Kč), Ústeckém kraji (2,3 mil. Kč), Zlínském kraji (1,4 mil. Kč) a Pardubickém kraji (1,2 mil. Kč).</w:t>
      </w:r>
    </w:p>
    <w:p w14:paraId="2A53A4FC" w14:textId="77777777" w:rsidR="00DF3005" w:rsidRPr="00DF3005" w:rsidRDefault="00DF3005" w:rsidP="00DF3005">
      <w:pPr>
        <w:spacing w:after="240" w:line="360" w:lineRule="auto"/>
        <w:jc w:val="both"/>
        <w:rPr>
          <w:rFonts w:ascii="Calibri" w:eastAsia="Calibri" w:hAnsi="Calibri"/>
          <w:b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lastRenderedPageBreak/>
        <w:tab/>
      </w:r>
      <w:r w:rsidRPr="00DF3005">
        <w:rPr>
          <w:rFonts w:ascii="Calibri" w:eastAsia="Calibri" w:hAnsi="Calibri"/>
          <w:sz w:val="26"/>
          <w:szCs w:val="26"/>
          <w:lang w:eastAsia="en-US"/>
        </w:rPr>
        <w:t xml:space="preserve">Vývoj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průměrného platu v odvětvích tzv. veřejné služby a správy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byl v 1. čtvrtletí 2022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ovlivněn omezenou valorizací platových tarifů od 1. ledna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letošního roku, tj. zvýšením platových tarifů pouze vybraným skupinám zaměstnanců. Jednalo se o sociální pracovníky a pracovníky v sociálních službách (o 700 Kč), nelékařské zdravotnické pracovníky (o 700 Kč, resp. 6 %), lékaře a zubní lékaře (o 6 %) a pedagogické pracovníky v regionálním školství (o 2 %). Výše uvedené se promítlo ve zvýšení průměrného platu zaměstnanců příslušných odvětví. Meziroční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vzestup průměrného 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>nominálního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 výdělku 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>byl tak zaznamenán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 v odvětvích „vzdělávání“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(o 3,4 %) a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 „zdravotní a sociální péče“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(o 2,7 %).</w:t>
      </w:r>
      <w:r w:rsidRPr="00DF300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>Pokles průměrného reálného platu však vykázaly v souhrnu všechna odvětví – podrobně viz tabulku č. 4 v příloze.</w:t>
      </w:r>
    </w:p>
    <w:p w14:paraId="65ED22B3" w14:textId="77777777" w:rsidR="00DF3005" w:rsidRPr="00DF3005" w:rsidRDefault="00DF3005" w:rsidP="00AE5E5B">
      <w:pPr>
        <w:spacing w:line="360" w:lineRule="auto"/>
        <w:jc w:val="both"/>
        <w:rPr>
          <w:rFonts w:ascii="Calibri" w:eastAsia="Calibri" w:hAnsi="Calibri" w:cs="Arial"/>
          <w:b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ab/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 xml:space="preserve">Na tempo růstu 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>průměrné mzdy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 xml:space="preserve"> v soukromé sféře působily v 1. čtvrtletí 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>především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 xml:space="preserve"> tyto 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>základní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 xml:space="preserve"> faktory:</w:t>
      </w:r>
    </w:p>
    <w:p w14:paraId="55590DFC" w14:textId="29665735" w:rsidR="00DF3005" w:rsidRPr="00DF3005" w:rsidRDefault="00DF3005" w:rsidP="00AE5E5B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Arial"/>
          <w:sz w:val="26"/>
          <w:szCs w:val="26"/>
          <w:lang w:eastAsia="en-US"/>
        </w:rPr>
      </w:pPr>
      <w:bookmarkStart w:id="0" w:name="_Hlk109804678"/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protisměrně působící na jedné straně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poptávka po vhodné pracovní síle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>, na straně druhé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 opatrná mzdová politika řady zaměstnavatelů při zvyšování mezd zaměstnancům</w:t>
      </w:r>
      <w:bookmarkEnd w:id="0"/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>,</w:t>
      </w:r>
    </w:p>
    <w:p w14:paraId="547A5809" w14:textId="66D2CAF0" w:rsidR="00DF3005" w:rsidRPr="00DF3005" w:rsidRDefault="00DF3005" w:rsidP="00AE5E5B">
      <w:pPr>
        <w:numPr>
          <w:ilvl w:val="0"/>
          <w:numId w:val="21"/>
        </w:numPr>
        <w:spacing w:after="240" w:line="360" w:lineRule="auto"/>
        <w:jc w:val="both"/>
        <w:rPr>
          <w:rFonts w:ascii="Calibri" w:eastAsia="Calibri" w:hAnsi="Calibri" w:cs="Arial"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nárůst zaměstnanosti a 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pokles nezaměstnanosti;</w:t>
      </w: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>podíl nezaměstnaných osob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 k 31. březnu 2022 dosáhl úrovně 3,4 % 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>(k 31. březnu 2021 byl o 0,8 p. b. vyšší, tj.</w:t>
      </w:r>
      <w:r w:rsidR="002338F0">
        <w:rPr>
          <w:rFonts w:ascii="Calibri" w:eastAsia="Calibri" w:hAnsi="Calibri" w:cs="Arial"/>
          <w:bCs/>
          <w:sz w:val="26"/>
          <w:szCs w:val="26"/>
          <w:lang w:eastAsia="en-US"/>
        </w:rPr>
        <w:t> 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>činil 4,2 %).</w:t>
      </w:r>
    </w:p>
    <w:p w14:paraId="749022CA" w14:textId="6E54D78B" w:rsidR="00DF3005" w:rsidRPr="00DF3005" w:rsidRDefault="00DF3005" w:rsidP="00DF3005">
      <w:pPr>
        <w:spacing w:after="600" w:line="259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 xml:space="preserve">Ze statistik o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průměrném evidenčním počtu zaměstnanců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na přepočtené počty (dle Podnikové statistiky o mzdách a zaměstnancích, jedná se o druhý nejvýznamnější zdroj dat, který se však liší od Výběrových šetření pracovních sil) 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>je patrný celkový meziroční nárůst zaměstnanců (o 44,7 tis.). Největší nárůst zaměstnanců byl vykázán v odvětví „velkoobchod a maloobchod; opravy a údržba motorových vozidel“ (o 11,6 tis., tj. o 2,3 %), dále pak v odvětví „zdravotní a sociální péče“ (o 8,7 tis.), v odvětví „vzdělávání“ (o 8,2 tis.) a v odvětví „zpracovatelský průmysl“ (o 7,1 tis.). Pokles zaměstnanosti byl v hodnoceném období zaznamenán v 7 odvětvích; z nich nejvíce v odvětví „administrativní a podpůrné činnosti“ (o 8,4 tis., tj. o 4,7 %) a dále v odvětvích „těžba a dobývání“ (o 2,1 tis.), „veřejná správa a obrana; povinné sociální zabezpečení“ (o 1,6 tis.) a „kulturní</w:t>
      </w:r>
      <w:r w:rsidR="00FB30FC">
        <w:rPr>
          <w:rFonts w:ascii="Calibri" w:eastAsia="Calibri" w:hAnsi="Calibri" w:cs="Arial"/>
          <w:bCs/>
          <w:iCs/>
          <w:sz w:val="26"/>
          <w:szCs w:val="26"/>
          <w:lang w:eastAsia="en-US"/>
        </w:rPr>
        <w:t>,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zábavní a rekreační činnosti“ (o 0,9 tis.). </w:t>
      </w:r>
    </w:p>
    <w:p w14:paraId="58939133" w14:textId="3972B9C4" w:rsidR="00DF3005" w:rsidRPr="00DF3005" w:rsidRDefault="00DF3005" w:rsidP="000965DE">
      <w:pPr>
        <w:spacing w:after="240" w:line="360" w:lineRule="auto"/>
        <w:jc w:val="both"/>
        <w:rPr>
          <w:rFonts w:ascii="Calibri" w:eastAsia="Calibri" w:hAnsi="Calibri" w:cs="Arial"/>
          <w:bCs/>
          <w:i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lastRenderedPageBreak/>
        <w:tab/>
        <w:t>Z hlediska odvětvového členění (podle Klasifikace ekonomických činností CZ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noBreakHyphen/>
        <w:t xml:space="preserve">NACE – viz tabulku č. 5 v příloze) </w:t>
      </w:r>
      <w:r w:rsidR="00375DEC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bylo dosaženo</w:t>
      </w:r>
      <w:r w:rsidRPr="00DF3005">
        <w:rPr>
          <w:rFonts w:ascii="Calibri" w:eastAsia="Calibri" w:hAnsi="Calibri" w:cs="Arial"/>
          <w:b/>
          <w:iCs/>
          <w:sz w:val="26"/>
          <w:szCs w:val="26"/>
          <w:lang w:eastAsia="en-US"/>
        </w:rPr>
        <w:t xml:space="preserve"> v 1. čtvrtletí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2022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nejvyšší průměrné nominální mzdy </w:t>
      </w:r>
      <w:r w:rsidR="00375DEC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v</w:t>
      </w:r>
      <w:r w:rsidR="00676E26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 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odvětví „informační a komunikační činnosti“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(71 996 Kč),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odvětví „peněžnictví a pojišťovnictví“ 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(71 847 Kč),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odvětví „výroba a</w:t>
      </w:r>
      <w:r w:rsidR="00375DEC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 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rozvod elektřiny, plynu, tepla a klimatizovaného vzduchu“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(64 308 Kč) a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odvětví „profesní, vědecké a technické činnosti“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(48 191 Kč). Celorepublikový průměr (37 929 Kč) byl překročen rovněž v odvětvích „zdravotní a sociální péče“ (41 358 Kč), „těžba a dobývání“ (39 567 Kč) a „veřejná správa a obrana; povinné sociální zabezpečení“ (39 022 Kč).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Nejnižší průměrná mzda byla v odvětvích „ubytování, stravování a pohostinství“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(22 222 Kč),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„administrativní a podpůrné činnosti“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(27 553 Kč) a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„zemědělství, lesnictví a rybářství“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> (27 983 Kč).</w:t>
      </w:r>
    </w:p>
    <w:p w14:paraId="30362812" w14:textId="0C537CE8" w:rsidR="00DF3005" w:rsidRPr="00DF3005" w:rsidRDefault="00DF3005" w:rsidP="000965DE">
      <w:pPr>
        <w:spacing w:after="240" w:line="360" w:lineRule="auto"/>
        <w:jc w:val="both"/>
        <w:rPr>
          <w:rFonts w:ascii="Calibri" w:eastAsia="Calibri" w:hAnsi="Calibri" w:cs="Arial"/>
          <w:bCs/>
          <w:i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ab/>
        <w:t>Dynamika průměrné nominální mzdy v jednotlivých odvětvích byla poměrně diferencovaná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, a to od více než dvojnásobně vyššího nárůstu v porovnání s celorepublikovým průměrem až po zvýšení nepřekračující 2 %.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Dostatečný růst průměrné nominální mzdy, který by </w:t>
      </w:r>
      <w:r w:rsidR="00375DEC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překonal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 nárůst inflace a vedl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tak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ke zvýšení průměrné reálné mzdy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, byl však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zaznamenán pouze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ve 2 z 19 odvětví národního hospodářství.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Nejvyšší nárůst průměrné mzdy byl vykázán v odvětvích „peněžnictví a pojišťovnictví“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(nominálně o 15,9 %, reálně o 4,2 %),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 „činnosti v oblasti nemovitostí“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(nominálně o 13,9 %, reálně o 2,4 %),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 „ubytování, stravování a pohostinství“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(nominálně o 11,2 %, reálně stagnace),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„kulturní, zábavní a rekreační činnosti“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(nominálně o 11,1 %, reálně však již pokles o 0,1 %) a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„administrativní a podpůrné činnosti“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(nominálně o 10,7 %, reálně pokles o 0,4 %).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Naopak nejnižší nárůst průměrné mzdy byl 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zaznamenán v odvětvích 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>„veřejná správa a obrana; povinné sociální zabezpečení“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 xml:space="preserve"> (nominálně o 1,9 %, reálně pokles o 8,4 %),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 „zdravotní a sociální péče“ 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>(nominálně o 2,7 %, reálně pokles o 7,6 %) a</w:t>
      </w:r>
      <w:r w:rsidRPr="00DF3005">
        <w:rPr>
          <w:rFonts w:ascii="Calibri" w:eastAsia="Calibri" w:hAnsi="Calibri" w:cs="Arial"/>
          <w:b/>
          <w:bCs/>
          <w:iCs/>
          <w:sz w:val="26"/>
          <w:szCs w:val="26"/>
          <w:lang w:eastAsia="en-US"/>
        </w:rPr>
        <w:t xml:space="preserve"> „vzdělávání“ </w:t>
      </w:r>
      <w:r w:rsidRPr="00DF3005">
        <w:rPr>
          <w:rFonts w:ascii="Calibri" w:eastAsia="Calibri" w:hAnsi="Calibri" w:cs="Arial"/>
          <w:bCs/>
          <w:iCs/>
          <w:sz w:val="26"/>
          <w:szCs w:val="26"/>
          <w:lang w:eastAsia="en-US"/>
        </w:rPr>
        <w:t>(nominálně o 3,4 %, reálně pokles o 7,0 %).</w:t>
      </w:r>
    </w:p>
    <w:p w14:paraId="28AC0C83" w14:textId="77777777" w:rsidR="00DF3005" w:rsidRPr="00DF3005" w:rsidRDefault="00DF3005" w:rsidP="00DF3005">
      <w:pPr>
        <w:spacing w:after="240" w:line="360" w:lineRule="auto"/>
        <w:jc w:val="both"/>
        <w:rPr>
          <w:rFonts w:ascii="Calibri" w:eastAsia="Calibri" w:hAnsi="Calibri" w:cs="Arial"/>
          <w:b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lastRenderedPageBreak/>
        <w:tab/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Meziodvětvová mzdová diferenciace</w:t>
      </w:r>
      <w:r w:rsidRPr="00DF3005">
        <w:rPr>
          <w:rFonts w:ascii="Calibri" w:eastAsia="Calibri" w:hAnsi="Calibri" w:cs="Arial"/>
          <w:b/>
          <w:sz w:val="26"/>
          <w:szCs w:val="26"/>
          <w:lang w:eastAsia="en-US"/>
        </w:rPr>
        <w:t xml:space="preserve"> se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proti stejnému období předchozího roku mírně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zvýšila; variační koeficient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průměrných mezd (podle sekcí CZ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noBreakHyphen/>
        <w:t xml:space="preserve">NACE)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vzrostl</w:t>
      </w:r>
      <w:r w:rsidRPr="00DF3005">
        <w:rPr>
          <w:rFonts w:ascii="Calibri" w:eastAsia="Calibri" w:hAnsi="Calibri" w:cs="Arial"/>
          <w:bCs/>
          <w:sz w:val="26"/>
          <w:szCs w:val="26"/>
          <w:lang w:eastAsia="en-US"/>
        </w:rPr>
        <w:t xml:space="preserve"> o 1,0 p. b. </w:t>
      </w:r>
      <w:r w:rsidRPr="00DF3005">
        <w:rPr>
          <w:rFonts w:ascii="Calibri" w:eastAsia="Calibri" w:hAnsi="Calibri" w:cs="Arial"/>
          <w:b/>
          <w:bCs/>
          <w:sz w:val="26"/>
          <w:szCs w:val="26"/>
          <w:lang w:eastAsia="en-US"/>
        </w:rPr>
        <w:t>na 35,1 %.</w:t>
      </w:r>
    </w:p>
    <w:p w14:paraId="6B68CC7D" w14:textId="77777777" w:rsidR="00DF3005" w:rsidRPr="00DF3005" w:rsidRDefault="00DF3005" w:rsidP="00DF3005">
      <w:pPr>
        <w:spacing w:after="240" w:line="360" w:lineRule="auto"/>
        <w:jc w:val="both"/>
        <w:rPr>
          <w:rFonts w:ascii="Calibri" w:eastAsia="Calibri" w:hAnsi="Calibri"/>
          <w:b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ab/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 xml:space="preserve">Výše průměrné nominální mzdy se 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>výrazně</w:t>
      </w:r>
      <w:r w:rsidRPr="00DF3005">
        <w:rPr>
          <w:rFonts w:ascii="Calibri" w:eastAsia="Calibri" w:hAnsi="Calibri"/>
          <w:sz w:val="26"/>
          <w:szCs w:val="26"/>
          <w:lang w:eastAsia="en-US"/>
        </w:rPr>
        <w:t xml:space="preserve"> lišila i 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podle velikosti zpravodajské jednotky, tj. čím větší byl počet zaměstnanců, tím vyšší byla průměrná mzda.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V podnicích do 19 zaměstnanců byla nejnižší a činila 28 726 Kč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(téměř 76 % průměrné mzdy v národním hospodářství),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naopak nejvyšší 45 132 Kč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(tj.  119 % průměrné mzdy v národním hospodářství)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byla vyplacena v organizacích s 1 000 a více zaměstnanci.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Relativně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nejpříznivější meziroční vývoj 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>byl zaznamenán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sz w:val="26"/>
          <w:szCs w:val="26"/>
          <w:lang w:eastAsia="en-US"/>
        </w:rPr>
        <w:t xml:space="preserve">u nejmenších subjektů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do 19 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zaměstnanců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, kde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došlo k nejvyššímu nárůstu průměrné mzdy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(o 10,0 %) a dále u zaměstnavatelů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 xml:space="preserve">se 100 až 249 zaměstnanci 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>(o 8,5 %). Ve všech</w:t>
      </w:r>
      <w:r w:rsidRPr="00DF3005">
        <w:rPr>
          <w:rFonts w:ascii="Calibri" w:eastAsia="Calibri" w:hAnsi="Calibri"/>
          <w:bCs/>
          <w:color w:val="FF0000"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>sledovaných velikostních kategorií byl zaznamenán nárůst počtu zaměstnanců, z toho nejvíce u podniků a firem s 50 až 99 zaměstnanci (o 8,7 tis.) – podrobněji viz tabulku č. 6 v příloze.</w:t>
      </w:r>
    </w:p>
    <w:p w14:paraId="2E79BB84" w14:textId="07B66A6B" w:rsidR="00DF3005" w:rsidRPr="00DF3005" w:rsidRDefault="00DF3005" w:rsidP="00DF3005">
      <w:pPr>
        <w:spacing w:after="240" w:line="360" w:lineRule="auto"/>
        <w:jc w:val="both"/>
        <w:rPr>
          <w:rFonts w:ascii="Calibri" w:eastAsia="Calibri" w:hAnsi="Calibri"/>
          <w:bCs/>
          <w:sz w:val="26"/>
          <w:szCs w:val="26"/>
          <w:lang w:eastAsia="en-US"/>
        </w:rPr>
      </w:pPr>
      <w:r w:rsidRPr="00DF3005">
        <w:rPr>
          <w:rFonts w:ascii="Calibri" w:eastAsia="Calibri" w:hAnsi="Calibri" w:cs="Arial"/>
          <w:sz w:val="26"/>
          <w:szCs w:val="26"/>
          <w:lang w:eastAsia="en-US"/>
        </w:rPr>
        <w:tab/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K meziročnímu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nominálnímu nárůstu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průměrné mzdy došlo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ve všech krajích ČR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>, a to od 5,7 % do 8,2 %. V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 hl. m. Praze 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byla jako obvykle zaznamenána její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nejvyšší úroveň – dosáhla 48 498 Kč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(tj. téměř 128 % celorepublikového průměru). Nejvýznamnější relativní vzestup průměrné nominální mzdy vykázaly </w:t>
      </w:r>
      <w:r w:rsidRPr="00DF3005">
        <w:rPr>
          <w:rFonts w:ascii="Calibri" w:eastAsia="Calibri" w:hAnsi="Calibri"/>
          <w:b/>
          <w:bCs/>
          <w:iCs/>
          <w:sz w:val="26"/>
          <w:szCs w:val="26"/>
          <w:lang w:eastAsia="en-US"/>
        </w:rPr>
        <w:t xml:space="preserve">Karlovarský kraj </w:t>
      </w:r>
      <w:r w:rsidRPr="00DF3005">
        <w:rPr>
          <w:rFonts w:ascii="Calibri" w:eastAsia="Calibri" w:hAnsi="Calibri"/>
          <w:bCs/>
          <w:iCs/>
          <w:sz w:val="26"/>
          <w:szCs w:val="26"/>
          <w:lang w:eastAsia="en-US"/>
        </w:rPr>
        <w:t xml:space="preserve">(o 8,2 %), </w:t>
      </w:r>
      <w:r w:rsidRPr="00DF3005">
        <w:rPr>
          <w:rFonts w:ascii="Calibri" w:eastAsia="Calibri" w:hAnsi="Calibri"/>
          <w:b/>
          <w:bCs/>
          <w:iCs/>
          <w:sz w:val="26"/>
          <w:szCs w:val="26"/>
          <w:lang w:eastAsia="en-US"/>
        </w:rPr>
        <w:t>hl. m. Praha</w:t>
      </w:r>
      <w:r w:rsidRPr="00DF3005">
        <w:rPr>
          <w:rFonts w:ascii="Calibri" w:eastAsia="Calibri" w:hAnsi="Calibri"/>
          <w:bCs/>
          <w:iCs/>
          <w:sz w:val="26"/>
          <w:szCs w:val="26"/>
          <w:lang w:eastAsia="en-US"/>
        </w:rPr>
        <w:t xml:space="preserve"> (o 8,1 %), </w:t>
      </w:r>
      <w:r w:rsidRPr="00DF3005">
        <w:rPr>
          <w:rFonts w:ascii="Calibri" w:eastAsia="Calibri" w:hAnsi="Calibri"/>
          <w:b/>
          <w:bCs/>
          <w:iCs/>
          <w:sz w:val="26"/>
          <w:szCs w:val="26"/>
          <w:lang w:eastAsia="en-US"/>
        </w:rPr>
        <w:t>Jihomoravský a Zlínský kraj</w:t>
      </w:r>
      <w:r w:rsidRPr="00DF3005">
        <w:rPr>
          <w:rFonts w:ascii="Calibri" w:eastAsia="Calibri" w:hAnsi="Calibri"/>
          <w:bCs/>
          <w:iCs/>
          <w:sz w:val="26"/>
          <w:szCs w:val="26"/>
          <w:lang w:eastAsia="en-US"/>
        </w:rPr>
        <w:t xml:space="preserve"> (oba shodně o 7,0 %); naopak nejnižší nárůst byl v </w:t>
      </w:r>
      <w:r w:rsidRPr="00DF3005">
        <w:rPr>
          <w:rFonts w:ascii="Calibri" w:eastAsia="Calibri" w:hAnsi="Calibri"/>
          <w:b/>
          <w:bCs/>
          <w:iCs/>
          <w:sz w:val="26"/>
          <w:szCs w:val="26"/>
          <w:lang w:eastAsia="en-US"/>
        </w:rPr>
        <w:t>kraji Ústeckém</w:t>
      </w:r>
      <w:r w:rsidRPr="00DF3005">
        <w:rPr>
          <w:rFonts w:ascii="Calibri" w:eastAsia="Calibri" w:hAnsi="Calibri"/>
          <w:bCs/>
          <w:iCs/>
          <w:sz w:val="26"/>
          <w:szCs w:val="26"/>
          <w:lang w:eastAsia="en-US"/>
        </w:rPr>
        <w:t xml:space="preserve"> (o 5,7 %), </w:t>
      </w:r>
      <w:r w:rsidRPr="00DF3005">
        <w:rPr>
          <w:rFonts w:ascii="Calibri" w:eastAsia="Calibri" w:hAnsi="Calibri"/>
          <w:b/>
          <w:bCs/>
          <w:iCs/>
          <w:sz w:val="26"/>
          <w:szCs w:val="26"/>
          <w:lang w:eastAsia="en-US"/>
        </w:rPr>
        <w:t>Olomouckém</w:t>
      </w:r>
      <w:r w:rsidRPr="00DF3005">
        <w:rPr>
          <w:rFonts w:ascii="Calibri" w:eastAsia="Calibri" w:hAnsi="Calibri"/>
          <w:bCs/>
          <w:iCs/>
          <w:sz w:val="26"/>
          <w:szCs w:val="26"/>
          <w:lang w:eastAsia="en-US"/>
        </w:rPr>
        <w:t xml:space="preserve"> (o 6,1 %), </w:t>
      </w:r>
      <w:r w:rsidRPr="00DF3005">
        <w:rPr>
          <w:rFonts w:ascii="Calibri" w:eastAsia="Calibri" w:hAnsi="Calibri"/>
          <w:b/>
          <w:bCs/>
          <w:iCs/>
          <w:sz w:val="26"/>
          <w:szCs w:val="26"/>
          <w:lang w:eastAsia="en-US"/>
        </w:rPr>
        <w:t>Jihočeském, Královéhradeckém a Kraji Vysočina</w:t>
      </w:r>
      <w:r w:rsidRPr="00DF3005">
        <w:rPr>
          <w:rFonts w:ascii="Calibri" w:eastAsia="Calibri" w:hAnsi="Calibri"/>
          <w:bCs/>
          <w:iCs/>
          <w:sz w:val="26"/>
          <w:szCs w:val="26"/>
          <w:lang w:eastAsia="en-US"/>
        </w:rPr>
        <w:t xml:space="preserve"> (všechny shodně o 6,3 %).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b/>
          <w:bCs/>
          <w:iCs/>
          <w:sz w:val="26"/>
          <w:szCs w:val="26"/>
          <w:lang w:eastAsia="en-US"/>
        </w:rPr>
        <w:t>Ve všech regionech byl zaznamenán pokles průměrné reálné mzdy</w:t>
      </w:r>
      <w:r w:rsidRPr="00DF3005">
        <w:rPr>
          <w:rFonts w:ascii="Calibri" w:eastAsia="Calibri" w:hAnsi="Calibri"/>
          <w:bCs/>
          <w:iCs/>
          <w:sz w:val="26"/>
          <w:szCs w:val="26"/>
          <w:lang w:eastAsia="en-US"/>
        </w:rPr>
        <w:t xml:space="preserve"> v rozsahu od 2,7 % do 4,9 %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 – viz tabulku č. 7 v příloze.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Nejnižší absolutní úroveň průměrné mzdy 32 605 Kč 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byla dosažena </w:t>
      </w:r>
      <w:r w:rsidRPr="00DF3005">
        <w:rPr>
          <w:rFonts w:ascii="Calibri" w:eastAsia="Calibri" w:hAnsi="Calibri"/>
          <w:b/>
          <w:bCs/>
          <w:sz w:val="26"/>
          <w:szCs w:val="26"/>
          <w:lang w:eastAsia="en-US"/>
        </w:rPr>
        <w:t>v Karlovarském kraji.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Diferenciace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extrémních mzdových hladin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na</w:t>
      </w:r>
      <w:r w:rsidR="007B7507">
        <w:rPr>
          <w:rFonts w:ascii="Calibri" w:eastAsia="Calibri" w:hAnsi="Calibri"/>
          <w:b/>
          <w:sz w:val="26"/>
          <w:szCs w:val="26"/>
          <w:lang w:eastAsia="en-US"/>
        </w:rPr>
        <w:t> 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úrovni krajů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(hl. m. Praha x Karlovarský kraj) </w:t>
      </w:r>
      <w:r w:rsidRPr="00DF3005">
        <w:rPr>
          <w:rFonts w:ascii="Calibri" w:eastAsia="Calibri" w:hAnsi="Calibri"/>
          <w:b/>
          <w:sz w:val="26"/>
          <w:szCs w:val="26"/>
          <w:lang w:eastAsia="en-US"/>
        </w:rPr>
        <w:t>se zvýšila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o 1 157 Kč na 15 893 Kč. Hodnota variačního koeficientu v tomto členění vzrostla z 10,</w:t>
      </w:r>
      <w:r w:rsidR="00105C05">
        <w:rPr>
          <w:rFonts w:ascii="Calibri" w:eastAsia="Calibri" w:hAnsi="Calibri"/>
          <w:bCs/>
          <w:sz w:val="26"/>
          <w:szCs w:val="26"/>
          <w:lang w:eastAsia="en-US"/>
        </w:rPr>
        <w:t>4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 xml:space="preserve"> v 1. čtvrtletí 2021 na</w:t>
      </w:r>
      <w:r w:rsidR="007B7507">
        <w:rPr>
          <w:rFonts w:ascii="Calibri" w:eastAsia="Calibri" w:hAnsi="Calibri"/>
          <w:bCs/>
          <w:sz w:val="26"/>
          <w:szCs w:val="26"/>
          <w:lang w:eastAsia="en-US"/>
        </w:rPr>
        <w:t> </w:t>
      </w:r>
      <w:r w:rsidRPr="00DF3005">
        <w:rPr>
          <w:rFonts w:ascii="Calibri" w:eastAsia="Calibri" w:hAnsi="Calibri"/>
          <w:bCs/>
          <w:sz w:val="26"/>
          <w:szCs w:val="26"/>
          <w:lang w:eastAsia="en-US"/>
        </w:rPr>
        <w:t>úroveň 10,7 % v 1. čtvrtletí 2022.</w:t>
      </w:r>
    </w:p>
    <w:p w14:paraId="0847B287" w14:textId="77777777" w:rsidR="00E15CAD" w:rsidRPr="002F23BA" w:rsidRDefault="00E15CAD" w:rsidP="00E15CAD">
      <w:r w:rsidRPr="004471FB">
        <w:rPr>
          <w:color w:val="FF0000"/>
        </w:rPr>
        <w:br w:type="page"/>
      </w:r>
    </w:p>
    <w:p w14:paraId="5804DFC5" w14:textId="204EA458" w:rsidR="008F09FF" w:rsidRPr="00DF3005" w:rsidRDefault="00E15CAD" w:rsidP="000072C7">
      <w:pPr>
        <w:pStyle w:val="Nadpis1"/>
        <w:numPr>
          <w:ilvl w:val="1"/>
          <w:numId w:val="2"/>
        </w:numPr>
        <w:spacing w:after="360" w:line="240" w:lineRule="auto"/>
        <w:ind w:left="788" w:hanging="431"/>
        <w:rPr>
          <w:rFonts w:asciiTheme="minorHAnsi" w:hAnsiTheme="minorHAnsi"/>
          <w:smallCaps/>
          <w:color w:val="1F497D"/>
          <w:sz w:val="40"/>
          <w:szCs w:val="18"/>
        </w:rPr>
      </w:pPr>
      <w:r w:rsidRPr="00DF3005">
        <w:rPr>
          <w:rFonts w:asciiTheme="minorHAnsi" w:hAnsiTheme="minorHAnsi"/>
          <w:smallCaps/>
          <w:color w:val="1F497D"/>
          <w:sz w:val="40"/>
          <w:szCs w:val="18"/>
        </w:rPr>
        <w:lastRenderedPageBreak/>
        <w:t>Sociální příjmy</w:t>
      </w:r>
    </w:p>
    <w:p w14:paraId="66AD40A4" w14:textId="4C77F423" w:rsidR="00E90081" w:rsidRPr="00E90081" w:rsidRDefault="00DD780F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bookmarkStart w:id="1" w:name="_Hlk60863659"/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Celkový objem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sociálních příjmů (druhé nejvyšší složky peněžních příjmů domácností)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dosáhl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v 1.</w:t>
      </w:r>
      <w:r w:rsidR="00D96BFF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čtvrtletí 2022 částky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175,0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a byl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10,4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 (o 6,3 %) vyšší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roku 2021.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Nižší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byla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výplata dávek státní sociální podpory, dávek pěstounské péče a náhradního výživného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dávek pro osoby se zdravotním postižením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podpory v nezaměstnanosti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příjmy občanů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z ostatních druhů sociálních dávek se zvýšily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– viz tabulku č. 8 v příloze.</w:t>
      </w:r>
    </w:p>
    <w:p w14:paraId="1F95B968" w14:textId="77777777" w:rsidR="00E90081" w:rsidRPr="00E90081" w:rsidRDefault="00E90081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4DF69EDA" w14:textId="0FB9C933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Dávky důchodového pojištění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, na které bylo v 1. čtvrtletí 2022 poskytnuto bez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dávek vyplácených do ciziny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135,4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tj.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9,4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 (o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7,5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%) více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ve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srovnatelném období roku 2021, se podílely na celkové úrovni sociálních příjmů domácností 77,4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% – viz tabulku č. 8 v příloze. Výdaje související s valorizací důchodů, která proběhla v lednu 2022, činily ve sledovaném období 6,8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Kč.</w:t>
      </w:r>
    </w:p>
    <w:p w14:paraId="0938E365" w14:textId="44E1FCE7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Výdaje na starobní důchody se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(bez dávek vyplácených do ciziny)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zvýšily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o 7,7 mld. Kč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na 113,0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.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Kč.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Jejich podíl na celkovém objemu výdajů na dávky důchodového pojištění dosáhl 83,5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%.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Výdaje na invalidní důchody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vzrostly na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14,0 mld. 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1,2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Kč), výdaje na pozůstalostní důchody se rovněž zvýšily, a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to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o 0,6 mld. Kč na 8,3 mld. Kč.</w:t>
      </w:r>
    </w:p>
    <w:p w14:paraId="66785721" w14:textId="37E8AAFC" w:rsidR="00E90081" w:rsidRPr="00E90081" w:rsidRDefault="00166CA9" w:rsidP="000072C7">
      <w:pPr>
        <w:spacing w:after="3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Průměrná výše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(samostatně vypláceného)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starobního důchodu se v 1. čtvrtletí 2022 meziročně 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zvýšila o 904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Kč (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5,9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na 16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269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v reálném vyjádření 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však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klesla o 4,2 %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(při použití indexu životních nákladů domácností důchodců 110,5 %).</w:t>
      </w:r>
    </w:p>
    <w:p w14:paraId="4FEBE618" w14:textId="15B3E75F" w:rsidR="00E90081" w:rsidRPr="00E90081" w:rsidRDefault="00166CA9" w:rsidP="000072C7">
      <w:pPr>
        <w:spacing w:line="360" w:lineRule="auto"/>
        <w:jc w:val="both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 březnu 2022</w:t>
      </w:r>
    </w:p>
    <w:p w14:paraId="27E70069" w14:textId="4DDE174A" w:rsidR="00E90081" w:rsidRPr="00E90081" w:rsidRDefault="00E90081" w:rsidP="00DF3005">
      <w:pPr>
        <w:numPr>
          <w:ilvl w:val="0"/>
          <w:numId w:val="22"/>
        </w:numPr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pobíralo důchod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2 844,3 tis. osob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přičemž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jejich počet se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meziročně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snížil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o 20,4 tis. (tj.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0,7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).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Počet důchodců se starobním důchodem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(včetně poměrného starobního) byl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2 364,4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tis.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, tj. o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21,0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tis. nižší než v březnu 2021, v rámci této skupiny důchodců činil počet osob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s trvale kráceným důchodem 669,6 tis. 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(oproti stejnému období předchozího roku se zvýšil o 14,6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tis., tj. o 2,2 %). 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lastRenderedPageBreak/>
        <w:t>Počet příjemců invalidního důchodu se meziročně snížil o 0,9 tis. (o 0,2 %), počet příjemců vdovského a vdoveckého důchodu zůstal na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stejné úrovni (25,1 tis.), počet příjemců sirotčího důchodu se zvýšil o 1,5 tis. (o 3,8 %) – viz tabulku č. 9 v příloze,</w:t>
      </w:r>
    </w:p>
    <w:p w14:paraId="64077FE1" w14:textId="0A873FD9" w:rsidR="00E90081" w:rsidRPr="00E90081" w:rsidRDefault="00E90081" w:rsidP="00DF3005">
      <w:pPr>
        <w:numPr>
          <w:ilvl w:val="0"/>
          <w:numId w:val="22"/>
        </w:numPr>
        <w:spacing w:after="24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průměrný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nominální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starobní důchod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(vyplácený samostatně)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dosáhl 16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277 Kč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a 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převýšil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o 902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Kč (tj.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5,9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) skutečnost stejného měsíce roku 2021. U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žen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činil 14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879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Kč, čímž představoval 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83,7</w:t>
      </w:r>
      <w:r w:rsidR="000072C7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 průměrného důchodu mužů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(17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785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Kč). Průměrná výše trvale kráceného důchodu byla oproti průměrnému starobnímu důchodu o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1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613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Kč nižší a dosáhla 14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664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E90081">
        <w:rPr>
          <w:rFonts w:ascii="Calibri" w:eastAsia="Calibri" w:hAnsi="Calibri" w:cs="Calibri"/>
          <w:sz w:val="26"/>
          <w:szCs w:val="26"/>
          <w:lang w:eastAsia="en-US"/>
        </w:rPr>
        <w:t>Kč (o 926 Kč více než ve srovnatelném období předchozího roku), z toho u mužů 16 087 Kč a u žen 13 364 Kč.</w:t>
      </w:r>
    </w:p>
    <w:p w14:paraId="396455FD" w14:textId="77777777" w:rsidR="00E90081" w:rsidRPr="00E90081" w:rsidRDefault="00E90081" w:rsidP="000072C7">
      <w:pPr>
        <w:spacing w:after="240" w:line="259" w:lineRule="auto"/>
        <w:rPr>
          <w:rFonts w:ascii="Calibri" w:eastAsia="Calibri" w:hAnsi="Calibri" w:cs="Calibri"/>
          <w:sz w:val="26"/>
          <w:szCs w:val="26"/>
          <w:lang w:eastAsia="en-US"/>
        </w:rPr>
      </w:pPr>
    </w:p>
    <w:p w14:paraId="59439DB4" w14:textId="5EAE41F7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V pořadí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druhou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objemově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největší položku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sociálních příjmů domácností tvořily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dávky nemocenského pojištění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. Touto formou bylo v 1.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čtvrtletí</w:t>
      </w:r>
      <w:r w:rsidR="000072C7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2022 poskytnuto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13,2 mld. 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což bylo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o 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pouhých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31,7 mil. 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0,2 %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více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ve srovnatelném období předchozího roku – viz tabulku č. 8 v příloze.</w:t>
      </w:r>
    </w:p>
    <w:p w14:paraId="1205F795" w14:textId="632F9730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Rozhodující dávkou bylo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nemocenské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jehož objem dosáhl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9,1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, tj. o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1,4 %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 133,5 mil. Kč)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méně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předchozího roku.</w:t>
      </w:r>
    </w:p>
    <w:p w14:paraId="09F7C5E8" w14:textId="0FDA63D1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peněžitou pomoc v mateřství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bylo za leden až březen 2022 vyplaceno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2,8 mld. 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což je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5,3 %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 142,1 mil. Kč)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více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za 1. čtvrtletí 2021.</w:t>
      </w:r>
    </w:p>
    <w:p w14:paraId="0170004B" w14:textId="4833F356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Objem finančních prostředků poskytnutých 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ošetřovné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klesl na 1,1 mld. 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 4,7 %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, tj. o 53,7 mil. Kč).</w:t>
      </w:r>
    </w:p>
    <w:p w14:paraId="40C7FAC3" w14:textId="0C0AFCBE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otcovskou poporodní péči stouply 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ve sledovaném období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výdaje o 98,2 %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 65,9 mil. Kč) na 133,0 mil. Kč.</w:t>
      </w:r>
    </w:p>
    <w:p w14:paraId="52EBE98D" w14:textId="1C8EB7FA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dlouhodobé ošetřovné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výdaje 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rovněž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vzrostly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a to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22,7 %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 8,8 mil. Kč) na 47,6 mil. Kč.</w:t>
      </w:r>
    </w:p>
    <w:p w14:paraId="3F6B9BF1" w14:textId="2A34B914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vyrovnávací příspěvek v těhotenství a mateřství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bylo poskytnuto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1,9 mil. Kč, 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tj.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58,3 % více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v 1. čtvrtletí 2021.</w:t>
      </w:r>
    </w:p>
    <w:p w14:paraId="21504974" w14:textId="7E3990AC" w:rsidR="00E90081" w:rsidRPr="00E90081" w:rsidRDefault="00166CA9" w:rsidP="00B63E76">
      <w:pPr>
        <w:spacing w:after="10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lastRenderedPageBreak/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dávkách státní sociální podpory, dávkách pěstounské péče a náhradní</w:t>
      </w:r>
      <w:r w:rsidR="00FB30FC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m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 výživn</w:t>
      </w:r>
      <w:r w:rsidR="00FB30FC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ém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bylo v 1. čtvrtletí 2022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vyplaceno 12,1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. V hodnoceném období bylo touto formou vyplaceno meziročně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0,3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2,1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méně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finančních prostředků než ve stejném období předchozího roku – viz tabulku č. 8 v příloze.</w:t>
      </w:r>
    </w:p>
    <w:p w14:paraId="201EA0C3" w14:textId="192729BA" w:rsidR="00E90081" w:rsidRPr="00E90081" w:rsidRDefault="00166CA9" w:rsidP="00B63E76">
      <w:pPr>
        <w:spacing w:after="10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Výdaje na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rozhodující dávku tohoto systému –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rodičovský příspěvek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–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se snížily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o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0,7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Kč (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8,0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) na 8,4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Kč. Průměrný počet měsíčně vyplácených rodičovských příspěvků se snížil o 6,6 %, tj. o 20,2 tis. na 287,0 tis.</w:t>
      </w:r>
    </w:p>
    <w:p w14:paraId="520A2677" w14:textId="66173CFE" w:rsidR="00E90081" w:rsidRPr="00E90081" w:rsidRDefault="00166CA9" w:rsidP="00B63E76">
      <w:pPr>
        <w:spacing w:after="10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Na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příspěvek na bydlení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bylo ve sledovaném období vynaloženo 1,8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Kč, tj.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10,3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0,2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Kč)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více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v 1.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čtvrtletí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2021. Počet v průměru měsíčně vyplácených dávek zůstal prakticky stejný (pokles o 0,1 %, tj. ze 147,3 tis. na 147,2 tis.), průměrná výše příspěvku se zvýšila ze 3 803 Kč na 4 111 Kč.</w:t>
      </w:r>
    </w:p>
    <w:p w14:paraId="6A7283F6" w14:textId="1E3883DE" w:rsidR="00E90081" w:rsidRPr="00E90081" w:rsidRDefault="00166CA9" w:rsidP="00B63E76">
      <w:pPr>
        <w:spacing w:after="10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Formou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přídavku na dítě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bylo vyplaceno 823,3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Kč –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60,4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 309,9 mil. Kč)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více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roku 2021. Průměrný počet měsíčně vyplácených dávek vzrostl ve sledovaném období o 13,9 % na 249,0 tis.</w:t>
      </w:r>
    </w:p>
    <w:p w14:paraId="463D6150" w14:textId="6899CBBD" w:rsidR="00E90081" w:rsidRPr="00E90081" w:rsidRDefault="00166CA9" w:rsidP="00B63E76">
      <w:pPr>
        <w:spacing w:after="10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porodném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bylo vyplaceno 21,0 mil. Kč, tj.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23,4 %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 6,4 mil. Kč)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méně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předchozího roku, 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pohřebném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pak 3,6 mil. Kč (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0,1 mil. Kč více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).</w:t>
      </w:r>
    </w:p>
    <w:p w14:paraId="3BCB17F3" w14:textId="3406A1D3" w:rsidR="00E90081" w:rsidRPr="00E90081" w:rsidRDefault="00166CA9" w:rsidP="00B63E76">
      <w:pPr>
        <w:spacing w:after="10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dávky pěstounské péče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bylo vynaloženo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2,8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28,3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Kč) meziročně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méně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, tedy 1,0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Kč. Jejich průměrný měsíční počet naopak vzrostl o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18,3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% (na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36,8 tis.) – viz tabulky č. 10 – 13 v příloze.</w:t>
      </w:r>
    </w:p>
    <w:p w14:paraId="79628F9A" w14:textId="77777777" w:rsidR="00E90081" w:rsidRPr="00E90081" w:rsidRDefault="00E90081" w:rsidP="00B63E76">
      <w:pPr>
        <w:spacing w:after="12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552C0E57" w14:textId="3C128151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Další významnou složkou sociálních příjmů domácností byl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příspěvek na péči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. V hodnoceném období bylo takto vyplaceno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9,0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což bylo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9,8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 0,8 mld. Kč) meziročně více – viz tabulku č. 15 v příloze.</w:t>
      </w:r>
    </w:p>
    <w:p w14:paraId="162F0224" w14:textId="54F0FCDE" w:rsidR="00E90081" w:rsidRPr="00E90081" w:rsidRDefault="00166CA9" w:rsidP="00B63E76">
      <w:pPr>
        <w:spacing w:after="120" w:line="360" w:lineRule="auto"/>
        <w:jc w:val="both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 březnu 2022</w:t>
      </w:r>
    </w:p>
    <w:p w14:paraId="2471CD16" w14:textId="77777777" w:rsidR="00E90081" w:rsidRPr="00E90081" w:rsidRDefault="00E90081" w:rsidP="00DF3005">
      <w:pPr>
        <w:numPr>
          <w:ilvl w:val="0"/>
          <w:numId w:val="23"/>
        </w:numPr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E90081">
        <w:rPr>
          <w:rFonts w:ascii="Calibri" w:eastAsia="Calibri" w:hAnsi="Calibri" w:cs="Calibri"/>
          <w:sz w:val="26"/>
          <w:szCs w:val="26"/>
          <w:lang w:eastAsia="en-US"/>
        </w:rPr>
        <w:t>bylo vyplaceno 363,2 tis. dávek, tj. o 5,3 tis. více než v březnu 2021,</w:t>
      </w:r>
    </w:p>
    <w:p w14:paraId="3CD58CB3" w14:textId="77777777" w:rsidR="00E90081" w:rsidRPr="00E90081" w:rsidRDefault="00E90081" w:rsidP="00DF3005">
      <w:pPr>
        <w:numPr>
          <w:ilvl w:val="0"/>
          <w:numId w:val="23"/>
        </w:numPr>
        <w:spacing w:after="24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E90081">
        <w:rPr>
          <w:rFonts w:ascii="Calibri" w:eastAsia="Calibri" w:hAnsi="Calibri" w:cs="Calibri"/>
          <w:sz w:val="26"/>
          <w:szCs w:val="26"/>
          <w:lang w:eastAsia="en-US"/>
        </w:rPr>
        <w:t>bylo příjemcům s I. stupněm závislosti vyplaceno 27,5 % příspěvků, s II. stupněm 31,5 %, se III. stupněm 25,9 % a osobám se IV. stupněm 15,1 % příspěvků.</w:t>
      </w:r>
    </w:p>
    <w:p w14:paraId="3B2C6992" w14:textId="7B3E7578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lastRenderedPageBreak/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Na prostředky vyplacené formou </w:t>
      </w:r>
      <w:r w:rsidR="00E90081" w:rsidRPr="00E90081"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  <w:t>podpory v nezaměstnanosti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bylo v 1.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čtvrtletí 2022 vyčerpáno </w:t>
      </w:r>
      <w:r w:rsidR="00E90081" w:rsidRPr="00E90081">
        <w:rPr>
          <w:rFonts w:ascii="Calibri" w:eastAsia="Calibri" w:hAnsi="Calibri" w:cs="Calibri"/>
          <w:b/>
          <w:sz w:val="26"/>
          <w:szCs w:val="26"/>
          <w:lang w:eastAsia="en-US"/>
        </w:rPr>
        <w:t>2,7 mld. 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při </w:t>
      </w:r>
      <w:r w:rsidR="00E90081" w:rsidRPr="00E90081">
        <w:rPr>
          <w:rFonts w:ascii="Calibri" w:eastAsia="Calibri" w:hAnsi="Calibri" w:cs="Calibri"/>
          <w:b/>
          <w:sz w:val="26"/>
          <w:szCs w:val="26"/>
          <w:lang w:eastAsia="en-US"/>
        </w:rPr>
        <w:t>snížení o 9,0 % (o 0,3 mld. Kč)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– viz tabulku č. 8 v příloze. V uvedeném období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klesl průměrný podíl nezaměstnaných osob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(počet dosažitelných uchazečů o zaměstnání ve věku 15 až 64 let k obyvatelstvu stejného věku) ze 4,2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% na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3,5 %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. Průměrný počet evidovaných nezaměstnaných se snížil o 44,5 tis. na 262,0 tis., přičemž průměrný počet evidovaných nezaměstnaných s nárokem na podporu v nezaměstnanosti klesl na 86,9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tis. (o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16,7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tis., tj.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o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16,1 %). Podíl žen pobírajících podporu v nezaměstnanosti na celkovém počtu uchazečů s podporou činil 51,1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% (o 1,0 p. b. meziročně více). Na jedno volné pracovní místo připadalo 0,7 uchazečů (o 0,2 méně než v 1. čtvrtletí 2021).</w:t>
      </w:r>
    </w:p>
    <w:p w14:paraId="31DAECB1" w14:textId="6489E95D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Průměrná měsíční výše podpory v nezaměstnanosti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se ve sledovaném období zvýšila o 820 Kč 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9 241 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. Meziroční nárůst průměrné výše podpory byl zaznamenán ve všech krajích – viz tabulku č. 16 v příloze.</w:t>
      </w:r>
    </w:p>
    <w:p w14:paraId="36B7164C" w14:textId="77777777" w:rsidR="00E90081" w:rsidRPr="00E90081" w:rsidRDefault="00E90081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28DF2CD7" w14:textId="49741806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Dávky pomoci v hmotné nouzi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byly čerpány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ve výši 2,0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. V porovnání s objemem prostředků poskytnutým touto formou v 1. čtvrtletí 2021 se jednalo o jejich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zvýšení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48,8 %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tj.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0,6 mld. 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) – viz tabulky č. 8 a 17 v příloze. Tyto dávky se zvýšily ve všech krajích ČR vyjma kraje </w:t>
      </w:r>
      <w:r w:rsidR="00FB30FC">
        <w:rPr>
          <w:rFonts w:ascii="Calibri" w:eastAsia="Calibri" w:hAnsi="Calibri" w:cs="Calibri"/>
          <w:sz w:val="26"/>
          <w:szCs w:val="26"/>
          <w:lang w:eastAsia="en-US"/>
        </w:rPr>
        <w:t xml:space="preserve">Moravskoslezského, ve kterém došlo k poklesu o 5,9 %, a kraje 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Olomouckého</w:t>
      </w:r>
      <w:r w:rsidR="00FB30FC">
        <w:rPr>
          <w:rFonts w:ascii="Calibri" w:eastAsia="Calibri" w:hAnsi="Calibri" w:cs="Calibri"/>
          <w:sz w:val="26"/>
          <w:szCs w:val="26"/>
          <w:lang w:eastAsia="en-US"/>
        </w:rPr>
        <w:t xml:space="preserve"> (nepatrný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pokles o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0,1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%</w:t>
      </w:r>
      <w:r w:rsidR="00FB30FC">
        <w:rPr>
          <w:rFonts w:ascii="Calibri" w:eastAsia="Calibri" w:hAnsi="Calibri" w:cs="Calibri"/>
          <w:sz w:val="26"/>
          <w:szCs w:val="26"/>
          <w:lang w:eastAsia="en-US"/>
        </w:rPr>
        <w:t>)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. Největší objemy dávek byly vyplaceny v krajích Moravskoslezském (284,8 mil. Kč) a Ústeckém (201,3 mil.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Kč). Uvedený výrazný nárůst byl způsoben zejména poskytnutím dávky humanitární pomoci občanům Ukrajiny v březnu t.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r. (ve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výši 493,2 mil. Kč).</w:t>
      </w:r>
    </w:p>
    <w:p w14:paraId="14C7F5AC" w14:textId="06226061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Výdaje 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příspěvek na živobytí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(jejichž podíl ve sledovaném období činil 37,3 % z úhrnného objemu prostředků na dávky pomoci v hmotné nouzi) klesly 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736,4 mil. 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a byly o 112,9 mil. Kč (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13,3 %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)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nižší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předchozího roku. K jejich poklesu došlo ve všech krajích.</w:t>
      </w:r>
    </w:p>
    <w:p w14:paraId="5628787D" w14:textId="1C828FE6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lastRenderedPageBreak/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doplatek na bydlení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, který představoval 22,9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% z úhrnu dávek pomoci v hmotné nouzi, bylo vyplaceno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451,7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mil.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tj.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2,5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% více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než v 1.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čtvrtletí 2021. Nejvyšší nárůst objemu prostředků na tuto dávku byl zaznamenán v Ústeckém kraji (25,9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%), naopak nejvýraznější pokles nastal v kraji Olomouckém (6,2</w:t>
      </w:r>
      <w:r w:rsidR="00B63E76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>%).</w:t>
      </w:r>
    </w:p>
    <w:p w14:paraId="69A3254E" w14:textId="59DD73C4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Rovněž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výdaje na mimořádnou okamžitou pomoc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se proti srovnatelnému období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zvýšily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. Vyplaceno na ni bylo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295,2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mil.</w:t>
      </w:r>
      <w:r w:rsidR="00B63E76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, tj.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676,8 % více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– viz tabulky č. 17 a 18 v příloze.</w:t>
      </w:r>
    </w:p>
    <w:p w14:paraId="32DB0FA2" w14:textId="77777777" w:rsidR="00E90081" w:rsidRPr="00E90081" w:rsidRDefault="00E90081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18F37BB7" w14:textId="6E56EF33" w:rsidR="00E90081" w:rsidRPr="00E90081" w:rsidRDefault="00166CA9" w:rsidP="000072C7">
      <w:pPr>
        <w:spacing w:after="24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0C5ABA">
        <w:rPr>
          <w:rFonts w:ascii="Calibri" w:eastAsia="Calibri" w:hAnsi="Calibri" w:cs="Calibri"/>
          <w:b/>
          <w:szCs w:val="24"/>
        </w:rPr>
        <w:tab/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Dávky pro osoby se zdravotním postižením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se podílely na celkových sociálních příjmech 0,4 %. Bylo na ně vyplaceno </w:t>
      </w:r>
      <w:r w:rsidR="00E90081" w:rsidRPr="00E90081">
        <w:rPr>
          <w:rFonts w:ascii="Calibri" w:eastAsia="Calibri" w:hAnsi="Calibri" w:cs="Calibri"/>
          <w:b/>
          <w:bCs/>
          <w:sz w:val="26"/>
          <w:szCs w:val="26"/>
          <w:lang w:eastAsia="en-US"/>
        </w:rPr>
        <w:t>0,6 mld. Kč</w:t>
      </w:r>
      <w:r w:rsidR="00E90081" w:rsidRPr="00E90081">
        <w:rPr>
          <w:rFonts w:ascii="Calibri" w:eastAsia="Calibri" w:hAnsi="Calibri" w:cs="Calibri"/>
          <w:sz w:val="26"/>
          <w:szCs w:val="26"/>
          <w:lang w:eastAsia="en-US"/>
        </w:rPr>
        <w:t xml:space="preserve"> (o 2,9 % méně než v 1. čtvrtletí 2021). V 1. čtvrtletí 2022 činily příspěvky na mobilitu 417,7 mil. Kč (o 1,7 % méně) a příspěvky na zvláštní pomůcku 211,1 mil. Kč (o 5,3 % méně) – viz tabulku č. 19 v příloze.</w:t>
      </w:r>
    </w:p>
    <w:bookmarkEnd w:id="1"/>
    <w:p w14:paraId="4C2A591B" w14:textId="77777777" w:rsidR="00E15CAD" w:rsidRPr="002F23BA" w:rsidRDefault="00E15CAD" w:rsidP="00E15CAD">
      <w:r w:rsidRPr="004471FB">
        <w:rPr>
          <w:color w:val="FF0000"/>
        </w:rPr>
        <w:br w:type="page"/>
      </w:r>
    </w:p>
    <w:p w14:paraId="05F675E5" w14:textId="77777777" w:rsidR="00932BDC" w:rsidRPr="00932BDC" w:rsidRDefault="00932BDC" w:rsidP="000965DE">
      <w:pPr>
        <w:spacing w:after="360" w:line="360" w:lineRule="auto"/>
        <w:rPr>
          <w:rFonts w:ascii="Calibri" w:hAnsi="Calibri" w:cs="Arial"/>
          <w:b/>
          <w:i/>
          <w:iCs/>
          <w:smallCaps/>
          <w:color w:val="1F497D"/>
          <w:sz w:val="44"/>
          <w:szCs w:val="44"/>
        </w:rPr>
      </w:pPr>
      <w:r w:rsidRPr="00932BDC">
        <w:rPr>
          <w:rFonts w:ascii="Calibri" w:hAnsi="Calibri" w:cs="Arial"/>
          <w:b/>
          <w:iCs/>
          <w:smallCaps/>
          <w:color w:val="1F497D"/>
          <w:sz w:val="44"/>
          <w:szCs w:val="44"/>
        </w:rPr>
        <w:lastRenderedPageBreak/>
        <w:t>2.</w:t>
      </w:r>
      <w:r w:rsidRPr="00932BDC">
        <w:rPr>
          <w:rFonts w:ascii="Calibri" w:hAnsi="Calibri" w:cs="Arial"/>
          <w:b/>
          <w:iCs/>
          <w:smallCaps/>
          <w:color w:val="1F497D"/>
          <w:sz w:val="44"/>
          <w:szCs w:val="44"/>
        </w:rPr>
        <w:tab/>
        <w:t>Spotřebitelské ceny a životní náklady</w:t>
      </w:r>
    </w:p>
    <w:p w14:paraId="0DB5D60C" w14:textId="77777777" w:rsidR="00277821" w:rsidRPr="00277821" w:rsidRDefault="00277821" w:rsidP="000965DE">
      <w:pPr>
        <w:spacing w:after="240" w:line="360" w:lineRule="auto"/>
        <w:jc w:val="both"/>
        <w:rPr>
          <w:rFonts w:ascii="Calibri" w:hAnsi="Calibri"/>
          <w:sz w:val="26"/>
          <w:szCs w:val="26"/>
        </w:rPr>
      </w:pPr>
      <w:r w:rsidRPr="00277821">
        <w:rPr>
          <w:rFonts w:ascii="Calibri" w:hAnsi="Calibri" w:cs="Arial"/>
          <w:b/>
          <w:sz w:val="26"/>
          <w:szCs w:val="26"/>
        </w:rPr>
        <w:tab/>
        <w:t>Index</w:t>
      </w:r>
      <w:r w:rsidRPr="00277821">
        <w:rPr>
          <w:rFonts w:ascii="Calibri" w:hAnsi="Calibri"/>
          <w:b/>
          <w:bCs/>
          <w:sz w:val="26"/>
          <w:szCs w:val="26"/>
        </w:rPr>
        <w:t xml:space="preserve"> spotřebitelských cen</w:t>
      </w:r>
      <w:r w:rsidRPr="00277821">
        <w:rPr>
          <w:rFonts w:ascii="Calibri" w:hAnsi="Calibri"/>
          <w:sz w:val="26"/>
          <w:szCs w:val="26"/>
        </w:rPr>
        <w:t xml:space="preserve"> a životních nákladů domácností </w:t>
      </w:r>
      <w:r w:rsidRPr="00277821">
        <w:rPr>
          <w:rFonts w:ascii="Calibri" w:hAnsi="Calibri"/>
          <w:b/>
          <w:sz w:val="26"/>
          <w:szCs w:val="26"/>
        </w:rPr>
        <w:t>byl</w:t>
      </w:r>
      <w:r w:rsidRPr="00277821">
        <w:rPr>
          <w:rFonts w:ascii="Calibri" w:hAnsi="Calibri"/>
          <w:sz w:val="26"/>
          <w:szCs w:val="26"/>
        </w:rPr>
        <w:t xml:space="preserve"> letos </w:t>
      </w:r>
      <w:r w:rsidRPr="00277821">
        <w:rPr>
          <w:rFonts w:ascii="Calibri" w:hAnsi="Calibri"/>
          <w:b/>
          <w:sz w:val="26"/>
          <w:szCs w:val="26"/>
        </w:rPr>
        <w:t>v lednu až březnu výrazně vyšší než ve stejném období minulého roku a</w:t>
      </w:r>
      <w:r w:rsidRPr="00277821">
        <w:rPr>
          <w:rFonts w:ascii="Calibri" w:hAnsi="Calibri"/>
          <w:sz w:val="26"/>
          <w:szCs w:val="26"/>
        </w:rPr>
        <w:t xml:space="preserve"> u domácností celkem </w:t>
      </w:r>
      <w:r w:rsidRPr="00277821">
        <w:rPr>
          <w:rFonts w:ascii="Calibri" w:hAnsi="Calibri"/>
          <w:b/>
          <w:sz w:val="26"/>
          <w:szCs w:val="26"/>
        </w:rPr>
        <w:t>činil</w:t>
      </w:r>
      <w:r w:rsidRPr="00277821">
        <w:rPr>
          <w:rFonts w:ascii="Calibri" w:hAnsi="Calibri"/>
          <w:sz w:val="26"/>
          <w:szCs w:val="26"/>
        </w:rPr>
        <w:t xml:space="preserve"> meziročně </w:t>
      </w:r>
      <w:r w:rsidRPr="00277821">
        <w:rPr>
          <w:rFonts w:ascii="Calibri" w:hAnsi="Calibri"/>
          <w:b/>
          <w:sz w:val="26"/>
          <w:szCs w:val="26"/>
        </w:rPr>
        <w:t>11,2 %</w:t>
      </w:r>
      <w:r w:rsidRPr="00277821">
        <w:rPr>
          <w:rFonts w:ascii="Calibri" w:hAnsi="Calibri"/>
          <w:b/>
          <w:bCs/>
          <w:sz w:val="26"/>
          <w:szCs w:val="26"/>
        </w:rPr>
        <w:t xml:space="preserve"> </w:t>
      </w:r>
      <w:r w:rsidRPr="00277821">
        <w:rPr>
          <w:rFonts w:ascii="Calibri" w:hAnsi="Calibri"/>
          <w:sz w:val="26"/>
          <w:szCs w:val="26"/>
        </w:rPr>
        <w:t>(ve stejném období let 2019, 2020 a 2021 to bylo 2,7 %, 3,6 %, resp. 2,2 %).</w:t>
      </w:r>
    </w:p>
    <w:p w14:paraId="13E13718" w14:textId="77777777" w:rsidR="00277821" w:rsidRPr="00277821" w:rsidRDefault="00277821" w:rsidP="000965DE">
      <w:pPr>
        <w:spacing w:after="240" w:line="360" w:lineRule="auto"/>
        <w:jc w:val="both"/>
        <w:rPr>
          <w:rFonts w:ascii="Calibri" w:hAnsi="Calibri"/>
          <w:sz w:val="26"/>
          <w:szCs w:val="26"/>
        </w:rPr>
      </w:pPr>
      <w:r w:rsidRPr="00277821">
        <w:rPr>
          <w:rFonts w:ascii="Calibri" w:hAnsi="Calibri"/>
          <w:sz w:val="26"/>
          <w:szCs w:val="26"/>
        </w:rPr>
        <w:tab/>
      </w:r>
      <w:r w:rsidRPr="00277821">
        <w:rPr>
          <w:rFonts w:ascii="Calibri" w:hAnsi="Calibri"/>
          <w:b/>
          <w:sz w:val="26"/>
          <w:szCs w:val="26"/>
        </w:rPr>
        <w:t>V prvním čtvrtletí 2022 vzrostly spotřebitelské ceny proti předchozímu čtvrtletí o 6,3 %.</w:t>
      </w:r>
      <w:r w:rsidRPr="00277821">
        <w:rPr>
          <w:rFonts w:ascii="Calibri" w:hAnsi="Calibri"/>
          <w:sz w:val="26"/>
          <w:szCs w:val="26"/>
        </w:rPr>
        <w:t xml:space="preserve"> </w:t>
      </w:r>
      <w:r w:rsidRPr="00277821">
        <w:rPr>
          <w:rFonts w:ascii="Calibri" w:hAnsi="Calibri"/>
          <w:b/>
          <w:bCs/>
          <w:sz w:val="26"/>
          <w:szCs w:val="26"/>
        </w:rPr>
        <w:t>Jednalo se o nejvyšší mezičtvrtletní nárůst od prvního čtvrtletí 1993.</w:t>
      </w:r>
      <w:r w:rsidRPr="00277821">
        <w:rPr>
          <w:rFonts w:ascii="Calibri" w:hAnsi="Calibri"/>
          <w:sz w:val="26"/>
          <w:szCs w:val="26"/>
        </w:rPr>
        <w:t xml:space="preserve"> Významnou roli měl tradičně zejména růst cen v lednu, kdy došlo k meziměsíčnímu zvýšení cen o 4,4 %. </w:t>
      </w:r>
      <w:r w:rsidRPr="00277821">
        <w:rPr>
          <w:rFonts w:ascii="Calibri" w:hAnsi="Calibri"/>
          <w:b/>
          <w:sz w:val="26"/>
          <w:szCs w:val="26"/>
        </w:rPr>
        <w:t>Mezičtvrtletní</w:t>
      </w:r>
      <w:r w:rsidRPr="00277821">
        <w:rPr>
          <w:rFonts w:ascii="Calibri" w:hAnsi="Calibri"/>
          <w:sz w:val="26"/>
          <w:szCs w:val="26"/>
        </w:rPr>
        <w:t xml:space="preserve"> </w:t>
      </w:r>
      <w:r w:rsidRPr="00277821">
        <w:rPr>
          <w:rFonts w:ascii="Calibri" w:hAnsi="Calibri"/>
          <w:b/>
          <w:sz w:val="26"/>
          <w:szCs w:val="26"/>
        </w:rPr>
        <w:t xml:space="preserve">přírůstek spotřebitelských </w:t>
      </w:r>
      <w:r w:rsidRPr="00277821">
        <w:rPr>
          <w:rFonts w:ascii="Calibri" w:hAnsi="Calibri"/>
          <w:b/>
          <w:bCs/>
          <w:sz w:val="26"/>
          <w:szCs w:val="26"/>
        </w:rPr>
        <w:t>nákladů</w:t>
      </w:r>
      <w:r w:rsidRPr="00277821">
        <w:rPr>
          <w:rFonts w:ascii="Calibri" w:hAnsi="Calibri"/>
          <w:bCs/>
          <w:sz w:val="26"/>
          <w:szCs w:val="26"/>
        </w:rPr>
        <w:t xml:space="preserve"> domácností</w:t>
      </w:r>
      <w:r w:rsidRPr="00277821">
        <w:rPr>
          <w:rFonts w:ascii="Calibri" w:hAnsi="Calibri"/>
          <w:b/>
          <w:bCs/>
          <w:sz w:val="26"/>
          <w:szCs w:val="26"/>
        </w:rPr>
        <w:t xml:space="preserve"> </w:t>
      </w:r>
      <w:r w:rsidRPr="00277821">
        <w:rPr>
          <w:rFonts w:ascii="Calibri" w:hAnsi="Calibri"/>
          <w:b/>
          <w:sz w:val="26"/>
          <w:szCs w:val="26"/>
        </w:rPr>
        <w:t>ovlivnily</w:t>
      </w:r>
      <w:r w:rsidRPr="00277821">
        <w:rPr>
          <w:rFonts w:ascii="Calibri" w:hAnsi="Calibri"/>
          <w:sz w:val="26"/>
          <w:szCs w:val="26"/>
        </w:rPr>
        <w:t xml:space="preserve"> </w:t>
      </w:r>
      <w:r w:rsidRPr="00277821">
        <w:rPr>
          <w:rFonts w:ascii="Calibri" w:hAnsi="Calibri"/>
          <w:b/>
          <w:sz w:val="26"/>
          <w:szCs w:val="26"/>
        </w:rPr>
        <w:t xml:space="preserve">rostoucí ceny </w:t>
      </w:r>
      <w:r w:rsidRPr="00277821">
        <w:rPr>
          <w:rFonts w:ascii="Calibri" w:hAnsi="Calibri"/>
          <w:sz w:val="26"/>
          <w:szCs w:val="26"/>
        </w:rPr>
        <w:t>v oddílech</w:t>
      </w:r>
      <w:r w:rsidRPr="00277821">
        <w:rPr>
          <w:rFonts w:ascii="Calibri" w:hAnsi="Calibri"/>
          <w:b/>
          <w:sz w:val="26"/>
          <w:szCs w:val="26"/>
        </w:rPr>
        <w:t xml:space="preserve"> „</w:t>
      </w:r>
      <w:r w:rsidRPr="00277821">
        <w:rPr>
          <w:rFonts w:ascii="Calibri" w:hAnsi="Calibri"/>
          <w:b/>
          <w:bCs/>
          <w:sz w:val="26"/>
          <w:szCs w:val="26"/>
        </w:rPr>
        <w:t>bydlení, voda, energie, paliva</w:t>
      </w:r>
      <w:r w:rsidRPr="00277821">
        <w:rPr>
          <w:rFonts w:ascii="Calibri" w:hAnsi="Calibri"/>
          <w:b/>
          <w:sz w:val="26"/>
          <w:szCs w:val="26"/>
        </w:rPr>
        <w:t xml:space="preserve">“ </w:t>
      </w:r>
      <w:r w:rsidRPr="00277821">
        <w:rPr>
          <w:rFonts w:ascii="Calibri" w:hAnsi="Calibri"/>
          <w:sz w:val="26"/>
          <w:szCs w:val="26"/>
        </w:rPr>
        <w:t>(výrazný dopad měly zvyšující se ceny nájemného, imputovaného nájemného, vodného, stočného, elektřiny a zemního plynu),</w:t>
      </w:r>
      <w:r w:rsidRPr="00277821">
        <w:rPr>
          <w:rFonts w:ascii="Calibri" w:hAnsi="Calibri"/>
          <w:b/>
          <w:sz w:val="26"/>
          <w:szCs w:val="26"/>
        </w:rPr>
        <w:t xml:space="preserve"> „potraviny a nealkoholické nápoje“ </w:t>
      </w:r>
      <w:r w:rsidRPr="00277821">
        <w:rPr>
          <w:rFonts w:ascii="Calibri" w:hAnsi="Calibri"/>
          <w:sz w:val="26"/>
          <w:szCs w:val="26"/>
        </w:rPr>
        <w:t>(především důsledkem růstu cen pekárenských výrobků</w:t>
      </w:r>
      <w:r w:rsidRPr="00277821">
        <w:rPr>
          <w:rFonts w:ascii="Calibri" w:hAnsi="Calibri"/>
          <w:sz w:val="26"/>
          <w:szCs w:val="26"/>
          <w:lang w:val="en-US"/>
        </w:rPr>
        <w:t>;</w:t>
      </w:r>
      <w:r w:rsidRPr="00277821">
        <w:rPr>
          <w:rFonts w:ascii="Calibri" w:hAnsi="Calibri"/>
          <w:sz w:val="26"/>
          <w:szCs w:val="26"/>
        </w:rPr>
        <w:t xml:space="preserve"> obilovin, olejů a tuků, mléka, sýrů, vajec, zeleniny a ovoce) a </w:t>
      </w:r>
      <w:r w:rsidRPr="00277821">
        <w:rPr>
          <w:rFonts w:ascii="Calibri" w:hAnsi="Calibri"/>
          <w:b/>
          <w:bCs/>
          <w:sz w:val="26"/>
          <w:szCs w:val="26"/>
        </w:rPr>
        <w:t>„</w:t>
      </w:r>
      <w:r w:rsidRPr="00277821">
        <w:rPr>
          <w:rFonts w:ascii="Calibri" w:hAnsi="Calibri"/>
          <w:b/>
          <w:sz w:val="26"/>
          <w:szCs w:val="26"/>
        </w:rPr>
        <w:t>doprava</w:t>
      </w:r>
      <w:r w:rsidRPr="00277821">
        <w:rPr>
          <w:rFonts w:ascii="Calibri" w:hAnsi="Calibri"/>
          <w:b/>
          <w:bCs/>
          <w:sz w:val="26"/>
          <w:szCs w:val="26"/>
        </w:rPr>
        <w:t>“</w:t>
      </w:r>
      <w:r w:rsidRPr="00277821">
        <w:rPr>
          <w:rFonts w:ascii="Calibri" w:hAnsi="Calibri"/>
          <w:sz w:val="26"/>
          <w:szCs w:val="26"/>
        </w:rPr>
        <w:t xml:space="preserve"> (dražší pohonné hmoty a oleje). V případě elektřiny činil zaznamenaný nárůst 32,3 % a u zemního plynu se jednalo o 35,1 % – částečný vliv však měl i návrat DPH u těchto položek.</w:t>
      </w:r>
    </w:p>
    <w:p w14:paraId="420B580E" w14:textId="77777777" w:rsidR="00277821" w:rsidRPr="00277821" w:rsidRDefault="00277821" w:rsidP="000965DE">
      <w:pPr>
        <w:spacing w:after="240" w:line="360" w:lineRule="auto"/>
        <w:jc w:val="both"/>
        <w:rPr>
          <w:rFonts w:ascii="Calibri" w:hAnsi="Calibri"/>
          <w:b/>
          <w:sz w:val="26"/>
          <w:szCs w:val="26"/>
        </w:rPr>
      </w:pPr>
      <w:r w:rsidRPr="00277821">
        <w:rPr>
          <w:rFonts w:ascii="Calibri" w:hAnsi="Calibri"/>
          <w:sz w:val="26"/>
          <w:szCs w:val="26"/>
        </w:rPr>
        <w:tab/>
      </w:r>
      <w:r w:rsidRPr="00277821">
        <w:rPr>
          <w:rFonts w:ascii="Calibri" w:hAnsi="Calibri"/>
          <w:b/>
          <w:sz w:val="26"/>
          <w:szCs w:val="26"/>
        </w:rPr>
        <w:t>V meziročním vyjádření</w:t>
      </w:r>
      <w:r w:rsidRPr="00277821">
        <w:rPr>
          <w:rFonts w:ascii="Calibri" w:hAnsi="Calibri"/>
          <w:sz w:val="26"/>
          <w:szCs w:val="26"/>
        </w:rPr>
        <w:t xml:space="preserve"> byla dynamika růstu spotřebitelských cen v prvním čtvrtletí podstatně vyšší než ve kterémkoliv z jednotlivých čtvrtletí minulého roku. V průměru za </w:t>
      </w:r>
      <w:r w:rsidRPr="00277821">
        <w:rPr>
          <w:rFonts w:ascii="Calibri" w:hAnsi="Calibri"/>
          <w:b/>
          <w:bCs/>
          <w:sz w:val="26"/>
          <w:szCs w:val="26"/>
        </w:rPr>
        <w:t xml:space="preserve">první čtvrtletí letošního roku vzrostly náklady domácností o 11,2 %, </w:t>
      </w:r>
      <w:r w:rsidRPr="00277821">
        <w:rPr>
          <w:rFonts w:ascii="Calibri" w:hAnsi="Calibri"/>
          <w:sz w:val="26"/>
          <w:szCs w:val="26"/>
        </w:rPr>
        <w:t xml:space="preserve">což bylo o 9,0 p. b. více než ve stejném období předchozího roku, resp. o 5,1 p. b. více než ve čtvrtém čtvrtletí </w:t>
      </w:r>
      <w:r w:rsidRPr="00277821">
        <w:rPr>
          <w:rFonts w:ascii="Calibri" w:hAnsi="Calibri" w:cs="Calibri"/>
          <w:sz w:val="26"/>
          <w:szCs w:val="26"/>
        </w:rPr>
        <w:t>2021. Nejvýraznější příčinou</w:t>
      </w:r>
      <w:r w:rsidRPr="00277821">
        <w:rPr>
          <w:rFonts w:ascii="Calibri" w:hAnsi="Calibri"/>
          <w:sz w:val="26"/>
          <w:szCs w:val="26"/>
        </w:rPr>
        <w:t xml:space="preserve"> byl </w:t>
      </w:r>
      <w:r w:rsidRPr="00277821">
        <w:rPr>
          <w:rFonts w:ascii="Calibri" w:hAnsi="Calibri"/>
          <w:bCs/>
          <w:sz w:val="26"/>
          <w:szCs w:val="26"/>
        </w:rPr>
        <w:t>růst cen v oddíle</w:t>
      </w:r>
      <w:r w:rsidRPr="00277821">
        <w:rPr>
          <w:rFonts w:ascii="Calibri" w:hAnsi="Calibri"/>
          <w:b/>
          <w:sz w:val="26"/>
          <w:szCs w:val="26"/>
        </w:rPr>
        <w:t xml:space="preserve"> „bydlení, voda, energie, paliva“</w:t>
      </w:r>
      <w:r w:rsidRPr="00277821">
        <w:rPr>
          <w:rFonts w:ascii="Calibri" w:hAnsi="Calibri"/>
          <w:bCs/>
          <w:sz w:val="26"/>
          <w:szCs w:val="26"/>
        </w:rPr>
        <w:t>,</w:t>
      </w:r>
      <w:r w:rsidRPr="00277821">
        <w:rPr>
          <w:rFonts w:ascii="Calibri" w:hAnsi="Calibri"/>
          <w:b/>
          <w:sz w:val="26"/>
          <w:szCs w:val="26"/>
        </w:rPr>
        <w:t xml:space="preserve"> </w:t>
      </w:r>
      <w:r w:rsidRPr="00277821">
        <w:rPr>
          <w:rFonts w:ascii="Calibri" w:hAnsi="Calibri"/>
          <w:sz w:val="26"/>
          <w:szCs w:val="26"/>
        </w:rPr>
        <w:t xml:space="preserve">kde domácnostem vzrostly náklady na nájemné z bytu, vodné, stočné, elektřinu, zemní plyn, teplo a teplou vodu a imputované nájemné. Tempo růstu cen vzrostlo i v oddíle </w:t>
      </w:r>
      <w:r w:rsidRPr="00277821">
        <w:rPr>
          <w:rFonts w:ascii="Calibri" w:hAnsi="Calibri"/>
          <w:b/>
          <w:sz w:val="26"/>
          <w:szCs w:val="26"/>
        </w:rPr>
        <w:t>„doprava</w:t>
      </w:r>
      <w:r w:rsidRPr="00277821">
        <w:rPr>
          <w:rFonts w:ascii="Calibri" w:hAnsi="Calibri"/>
          <w:bCs/>
          <w:sz w:val="26"/>
          <w:szCs w:val="26"/>
        </w:rPr>
        <w:t>“, což bylo způsobeno zejména zvýšením cen pohonných hmot a olejů a cen automobilů. Znatelně sílící</w:t>
      </w:r>
      <w:r w:rsidRPr="00277821">
        <w:rPr>
          <w:rFonts w:ascii="Calibri" w:hAnsi="Calibri"/>
          <w:sz w:val="26"/>
          <w:szCs w:val="26"/>
        </w:rPr>
        <w:t xml:space="preserve"> dynamika cen byla zaznamenána u </w:t>
      </w:r>
      <w:r w:rsidRPr="00277821">
        <w:rPr>
          <w:rFonts w:ascii="Calibri" w:hAnsi="Calibri"/>
          <w:b/>
          <w:bCs/>
          <w:sz w:val="26"/>
          <w:szCs w:val="26"/>
        </w:rPr>
        <w:t xml:space="preserve">„potravin a nealkoholických nápojů“ </w:t>
      </w:r>
      <w:r w:rsidRPr="00277821">
        <w:rPr>
          <w:rFonts w:ascii="Calibri" w:hAnsi="Calibri"/>
          <w:sz w:val="26"/>
          <w:szCs w:val="26"/>
        </w:rPr>
        <w:t>(zejména pekárenské výrobky</w:t>
      </w:r>
      <w:r w:rsidRPr="00277821">
        <w:rPr>
          <w:rFonts w:ascii="Calibri" w:hAnsi="Calibri"/>
          <w:sz w:val="26"/>
          <w:szCs w:val="26"/>
          <w:lang w:val="en-GB"/>
        </w:rPr>
        <w:t>;</w:t>
      </w:r>
      <w:r w:rsidRPr="00277821">
        <w:rPr>
          <w:rFonts w:ascii="Calibri" w:hAnsi="Calibri"/>
          <w:sz w:val="26"/>
          <w:szCs w:val="26"/>
        </w:rPr>
        <w:t xml:space="preserve"> obiloviny, mléko, sýry, vejce, oleje a tuky, zelenina).</w:t>
      </w:r>
      <w:r w:rsidRPr="00277821">
        <w:rPr>
          <w:rFonts w:ascii="Calibri" w:hAnsi="Calibri"/>
          <w:b/>
          <w:sz w:val="26"/>
          <w:szCs w:val="26"/>
        </w:rPr>
        <w:t xml:space="preserve"> </w:t>
      </w:r>
    </w:p>
    <w:p w14:paraId="483DDDBD" w14:textId="77777777" w:rsidR="00277821" w:rsidRPr="00277821" w:rsidRDefault="00277821" w:rsidP="000965DE">
      <w:pPr>
        <w:spacing w:after="240" w:line="360" w:lineRule="auto"/>
        <w:ind w:firstLine="708"/>
        <w:jc w:val="both"/>
        <w:rPr>
          <w:rFonts w:ascii="Calibri" w:hAnsi="Calibri"/>
          <w:sz w:val="26"/>
          <w:szCs w:val="26"/>
        </w:rPr>
      </w:pPr>
      <w:r w:rsidRPr="00277821">
        <w:rPr>
          <w:rFonts w:ascii="Calibri" w:hAnsi="Calibri"/>
          <w:b/>
          <w:sz w:val="26"/>
          <w:szCs w:val="26"/>
        </w:rPr>
        <w:lastRenderedPageBreak/>
        <w:t>Tržní ceny vzrostly</w:t>
      </w:r>
      <w:r w:rsidRPr="00277821">
        <w:rPr>
          <w:rFonts w:ascii="Calibri" w:hAnsi="Calibri"/>
          <w:sz w:val="26"/>
          <w:szCs w:val="26"/>
        </w:rPr>
        <w:t xml:space="preserve"> meziročně o 10,3 % a u </w:t>
      </w:r>
      <w:r w:rsidRPr="00277821">
        <w:rPr>
          <w:rFonts w:ascii="Calibri" w:hAnsi="Calibri"/>
          <w:b/>
          <w:sz w:val="26"/>
          <w:szCs w:val="26"/>
        </w:rPr>
        <w:t xml:space="preserve">regulovaných cen nastal nárůst </w:t>
      </w:r>
      <w:r w:rsidRPr="00277821">
        <w:rPr>
          <w:rFonts w:ascii="Calibri" w:hAnsi="Calibri"/>
          <w:sz w:val="26"/>
          <w:szCs w:val="26"/>
        </w:rPr>
        <w:t>o 15,7 %.</w:t>
      </w:r>
    </w:p>
    <w:p w14:paraId="08706E89" w14:textId="77777777" w:rsidR="00277821" w:rsidRPr="00277821" w:rsidRDefault="00277821" w:rsidP="000965DE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277821">
        <w:rPr>
          <w:rFonts w:ascii="Calibri" w:hAnsi="Calibri"/>
          <w:b/>
          <w:bCs/>
          <w:sz w:val="26"/>
          <w:szCs w:val="26"/>
        </w:rPr>
        <w:tab/>
        <w:t>Životní náklady domácností důchodců</w:t>
      </w:r>
      <w:r w:rsidRPr="00277821">
        <w:rPr>
          <w:rFonts w:ascii="Calibri" w:hAnsi="Calibri"/>
          <w:bCs/>
          <w:sz w:val="26"/>
          <w:szCs w:val="26"/>
        </w:rPr>
        <w:t xml:space="preserve"> ve srovnání s domácnostmi celkem </w:t>
      </w:r>
      <w:r w:rsidRPr="00277821">
        <w:rPr>
          <w:rFonts w:ascii="Calibri" w:hAnsi="Calibri"/>
          <w:b/>
          <w:bCs/>
          <w:sz w:val="26"/>
          <w:szCs w:val="26"/>
        </w:rPr>
        <w:t>rostly</w:t>
      </w:r>
      <w:r w:rsidRPr="00277821">
        <w:rPr>
          <w:rFonts w:ascii="Calibri" w:hAnsi="Calibri"/>
          <w:bCs/>
          <w:sz w:val="26"/>
          <w:szCs w:val="26"/>
        </w:rPr>
        <w:t xml:space="preserve"> o 0,7 p. b. </w:t>
      </w:r>
      <w:r w:rsidRPr="00277821">
        <w:rPr>
          <w:rFonts w:ascii="Calibri" w:hAnsi="Calibri"/>
          <w:b/>
          <w:sz w:val="26"/>
          <w:szCs w:val="26"/>
        </w:rPr>
        <w:t>pomaleji</w:t>
      </w:r>
      <w:r w:rsidRPr="00277821">
        <w:rPr>
          <w:rFonts w:ascii="Calibri" w:hAnsi="Calibri"/>
          <w:bCs/>
          <w:sz w:val="26"/>
          <w:szCs w:val="26"/>
        </w:rPr>
        <w:t xml:space="preserve"> (tzn. meziroční index dosáhl 110,5 %). </w:t>
      </w:r>
      <w:r w:rsidRPr="00277821">
        <w:rPr>
          <w:rFonts w:ascii="Calibri" w:hAnsi="Calibri"/>
          <w:b/>
          <w:bCs/>
          <w:sz w:val="26"/>
          <w:szCs w:val="26"/>
        </w:rPr>
        <w:t xml:space="preserve">Hlavním proinflačním faktorem byly stejně jako u domácností celkem rostoucí náklady v oddíle „bydlení, voda, energie, paliva“ </w:t>
      </w:r>
      <w:r w:rsidRPr="00277821">
        <w:rPr>
          <w:rFonts w:ascii="Calibri" w:hAnsi="Calibri"/>
          <w:sz w:val="26"/>
          <w:szCs w:val="26"/>
        </w:rPr>
        <w:t xml:space="preserve">– u domácností důchodců činil tento meziroční index za první čtvrtletí letošního roku 116,7 % (oproti indexu domácností celkem o 0,7 p. b. více). Dalším oddílem, kde domácnostem důchodců </w:t>
      </w:r>
      <w:r w:rsidRPr="00277821">
        <w:rPr>
          <w:rFonts w:ascii="Calibri" w:hAnsi="Calibri"/>
          <w:b/>
          <w:bCs/>
          <w:sz w:val="26"/>
          <w:szCs w:val="26"/>
        </w:rPr>
        <w:t>náklady rostly výrazněji</w:t>
      </w:r>
      <w:r w:rsidRPr="00277821">
        <w:rPr>
          <w:rFonts w:ascii="Calibri" w:hAnsi="Calibri"/>
          <w:sz w:val="26"/>
          <w:szCs w:val="26"/>
        </w:rPr>
        <w:t xml:space="preserve">, bylo </w:t>
      </w:r>
      <w:r w:rsidRPr="00277821">
        <w:rPr>
          <w:rFonts w:ascii="Calibri" w:hAnsi="Calibri"/>
          <w:b/>
          <w:bCs/>
          <w:sz w:val="26"/>
          <w:szCs w:val="26"/>
        </w:rPr>
        <w:t>„stravování a ubytování“</w:t>
      </w:r>
      <w:r w:rsidRPr="00277821">
        <w:rPr>
          <w:rFonts w:ascii="Calibri" w:hAnsi="Calibri"/>
          <w:sz w:val="26"/>
          <w:szCs w:val="26"/>
        </w:rPr>
        <w:t xml:space="preserve"> (o 1,3 p. b. více). Ve většině oddílů však byla dynamika růstu cen mírně nižší. </w:t>
      </w:r>
    </w:p>
    <w:p w14:paraId="5C4D2D33" w14:textId="54676349" w:rsidR="00277821" w:rsidRPr="00277821" w:rsidRDefault="00277821" w:rsidP="000965DE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277821">
        <w:rPr>
          <w:rFonts w:ascii="Calibri" w:hAnsi="Calibri"/>
          <w:bCs/>
          <w:sz w:val="26"/>
          <w:szCs w:val="26"/>
        </w:rPr>
        <w:tab/>
      </w:r>
      <w:r w:rsidRPr="00277821">
        <w:rPr>
          <w:rFonts w:ascii="Calibri" w:hAnsi="Calibri"/>
          <w:b/>
          <w:sz w:val="26"/>
          <w:szCs w:val="26"/>
        </w:rPr>
        <w:t>Pomaleji rovněž rostly</w:t>
      </w:r>
      <w:r w:rsidRPr="00277821">
        <w:rPr>
          <w:rFonts w:ascii="Calibri" w:hAnsi="Calibri"/>
          <w:bCs/>
          <w:sz w:val="26"/>
          <w:szCs w:val="26"/>
        </w:rPr>
        <w:t xml:space="preserve"> v prvním čtvrtletí 2022 </w:t>
      </w:r>
      <w:r w:rsidRPr="00277821">
        <w:rPr>
          <w:rFonts w:ascii="Calibri" w:hAnsi="Calibri"/>
          <w:b/>
          <w:bCs/>
          <w:sz w:val="26"/>
          <w:szCs w:val="26"/>
        </w:rPr>
        <w:t>životní náklady domácností žijících v hl. m. Praze</w:t>
      </w:r>
      <w:r w:rsidRPr="00277821">
        <w:rPr>
          <w:rFonts w:ascii="Calibri" w:hAnsi="Calibri"/>
          <w:bCs/>
          <w:sz w:val="26"/>
          <w:szCs w:val="26"/>
        </w:rPr>
        <w:t xml:space="preserve"> (index 110,2</w:t>
      </w:r>
      <w:r w:rsidRPr="00277821">
        <w:rPr>
          <w:rFonts w:ascii="Calibri" w:hAnsi="Calibri"/>
          <w:b/>
          <w:bCs/>
          <w:sz w:val="26"/>
          <w:szCs w:val="26"/>
        </w:rPr>
        <w:t> %</w:t>
      </w:r>
      <w:r w:rsidRPr="00277821">
        <w:rPr>
          <w:rFonts w:ascii="Calibri" w:hAnsi="Calibri"/>
          <w:bCs/>
          <w:sz w:val="26"/>
          <w:szCs w:val="26"/>
        </w:rPr>
        <w:t xml:space="preserve">). </w:t>
      </w:r>
      <w:r w:rsidRPr="00277821">
        <w:rPr>
          <w:rFonts w:ascii="Calibri" w:hAnsi="Calibri"/>
          <w:b/>
          <w:sz w:val="26"/>
          <w:szCs w:val="26"/>
        </w:rPr>
        <w:t xml:space="preserve">Znatelný rozdíl oproti </w:t>
      </w:r>
      <w:r w:rsidR="006F6048">
        <w:rPr>
          <w:rFonts w:ascii="Calibri" w:hAnsi="Calibri"/>
          <w:b/>
          <w:sz w:val="26"/>
          <w:szCs w:val="26"/>
        </w:rPr>
        <w:t xml:space="preserve">celkovému </w:t>
      </w:r>
      <w:r w:rsidRPr="00277821">
        <w:rPr>
          <w:rFonts w:ascii="Calibri" w:hAnsi="Calibri"/>
          <w:b/>
          <w:sz w:val="26"/>
          <w:szCs w:val="26"/>
        </w:rPr>
        <w:t>cenovému vývoji zaznamenal oddíl „odívání a obuv“</w:t>
      </w:r>
      <w:r w:rsidRPr="00277821">
        <w:rPr>
          <w:rFonts w:ascii="Calibri" w:hAnsi="Calibri"/>
          <w:bCs/>
          <w:sz w:val="26"/>
          <w:szCs w:val="26"/>
        </w:rPr>
        <w:t xml:space="preserve">, kde došlo za první čtvrtletí k meziročnímu růstu cen o 22,7 % (o 5,8 p. b. více). Odlišný byl rovněž vývoj nákladů v oddíle </w:t>
      </w:r>
      <w:r w:rsidRPr="00277821">
        <w:rPr>
          <w:rFonts w:ascii="Calibri" w:hAnsi="Calibri"/>
          <w:b/>
          <w:sz w:val="26"/>
          <w:szCs w:val="26"/>
        </w:rPr>
        <w:t>„bydlení, voda, energie, paliva“</w:t>
      </w:r>
      <w:r w:rsidRPr="00277821">
        <w:rPr>
          <w:rFonts w:ascii="Calibri" w:hAnsi="Calibri"/>
          <w:bCs/>
          <w:sz w:val="26"/>
          <w:szCs w:val="26"/>
        </w:rPr>
        <w:t xml:space="preserve"> (index 112,9 % – o 3,1 p. b. méně), což bylo způsobeno pomalejším zvýšením cen ve skupině elektrická a tepelná energie, plyn a ostatní paliva. </w:t>
      </w:r>
      <w:r w:rsidRPr="00277821">
        <w:rPr>
          <w:rFonts w:ascii="Calibri" w:hAnsi="Calibri"/>
          <w:b/>
          <w:sz w:val="26"/>
          <w:szCs w:val="26"/>
        </w:rPr>
        <w:t xml:space="preserve">Nižší růst cen </w:t>
      </w:r>
      <w:r w:rsidRPr="00277821">
        <w:rPr>
          <w:rFonts w:ascii="Calibri" w:hAnsi="Calibri"/>
          <w:bCs/>
          <w:sz w:val="26"/>
          <w:szCs w:val="26"/>
        </w:rPr>
        <w:t>byl zaznamenán například v oddílech</w:t>
      </w:r>
      <w:r w:rsidRPr="00277821">
        <w:rPr>
          <w:rFonts w:ascii="Calibri" w:hAnsi="Calibri"/>
          <w:b/>
          <w:sz w:val="26"/>
          <w:szCs w:val="26"/>
        </w:rPr>
        <w:t xml:space="preserve"> „doprava“ </w:t>
      </w:r>
      <w:r w:rsidRPr="00277821">
        <w:rPr>
          <w:rFonts w:ascii="Calibri" w:hAnsi="Calibri"/>
          <w:bCs/>
          <w:sz w:val="26"/>
          <w:szCs w:val="26"/>
        </w:rPr>
        <w:t>(o 1,7 p. b.) a</w:t>
      </w:r>
      <w:r w:rsidRPr="00277821">
        <w:rPr>
          <w:rFonts w:ascii="Calibri" w:hAnsi="Calibri"/>
          <w:b/>
          <w:sz w:val="26"/>
          <w:szCs w:val="26"/>
        </w:rPr>
        <w:t xml:space="preserve"> „ostatní zboží a služby“ </w:t>
      </w:r>
      <w:r w:rsidRPr="00277821">
        <w:rPr>
          <w:rFonts w:ascii="Calibri" w:hAnsi="Calibri"/>
          <w:bCs/>
          <w:sz w:val="26"/>
          <w:szCs w:val="26"/>
        </w:rPr>
        <w:t>(o 1,8 p. b.) – blíže k meziroční struktuře růstu životních nákladů vykazovaných typů domácností viz tabulku č. 21 v příloze.</w:t>
      </w:r>
    </w:p>
    <w:p w14:paraId="17CBD68C" w14:textId="77777777" w:rsidR="00277821" w:rsidRPr="00277821" w:rsidRDefault="00277821" w:rsidP="000965DE">
      <w:pPr>
        <w:spacing w:after="240" w:line="360" w:lineRule="auto"/>
        <w:jc w:val="both"/>
      </w:pPr>
      <w:r w:rsidRPr="00277821">
        <w:rPr>
          <w:rFonts w:ascii="Calibri" w:hAnsi="Calibri"/>
          <w:bCs/>
          <w:sz w:val="26"/>
          <w:szCs w:val="26"/>
        </w:rPr>
        <w:tab/>
      </w:r>
      <w:r w:rsidRPr="00277821">
        <w:rPr>
          <w:rFonts w:ascii="Calibri" w:hAnsi="Calibri"/>
          <w:b/>
          <w:bCs/>
          <w:sz w:val="26"/>
          <w:szCs w:val="26"/>
        </w:rPr>
        <w:t>Harmonizovaný index</w:t>
      </w:r>
      <w:r w:rsidRPr="00277821">
        <w:rPr>
          <w:rFonts w:ascii="Calibri" w:hAnsi="Calibri"/>
          <w:sz w:val="26"/>
          <w:szCs w:val="26"/>
        </w:rPr>
        <w:t xml:space="preserve"> </w:t>
      </w:r>
      <w:r w:rsidRPr="00277821">
        <w:rPr>
          <w:rFonts w:ascii="Calibri" w:hAnsi="Calibri"/>
          <w:b/>
          <w:sz w:val="26"/>
          <w:szCs w:val="26"/>
        </w:rPr>
        <w:t>spotřebitelských</w:t>
      </w:r>
      <w:r w:rsidRPr="00277821">
        <w:rPr>
          <w:rFonts w:ascii="Calibri" w:hAnsi="Calibri"/>
          <w:sz w:val="26"/>
          <w:szCs w:val="26"/>
        </w:rPr>
        <w:t xml:space="preserve"> </w:t>
      </w:r>
      <w:r w:rsidRPr="00277821">
        <w:rPr>
          <w:rFonts w:ascii="Calibri" w:hAnsi="Calibri"/>
          <w:b/>
          <w:bCs/>
          <w:sz w:val="26"/>
          <w:szCs w:val="26"/>
        </w:rPr>
        <w:t xml:space="preserve">cen </w:t>
      </w:r>
      <w:r w:rsidRPr="00277821">
        <w:rPr>
          <w:rFonts w:ascii="Calibri" w:hAnsi="Calibri"/>
          <w:sz w:val="26"/>
          <w:szCs w:val="26"/>
        </w:rPr>
        <w:t xml:space="preserve">(HICP – cenový index propočtený podle metodiky </w:t>
      </w:r>
      <w:proofErr w:type="spellStart"/>
      <w:r w:rsidRPr="00277821">
        <w:rPr>
          <w:rFonts w:ascii="Calibri" w:hAnsi="Calibri"/>
          <w:sz w:val="26"/>
          <w:szCs w:val="26"/>
        </w:rPr>
        <w:t>Eurostatu</w:t>
      </w:r>
      <w:proofErr w:type="spellEnd"/>
      <w:r w:rsidRPr="00277821">
        <w:rPr>
          <w:rFonts w:ascii="Calibri" w:hAnsi="Calibri"/>
          <w:sz w:val="26"/>
          <w:szCs w:val="26"/>
        </w:rPr>
        <w:t xml:space="preserve"> pro potřeby porovnání inflace v jednotlivých členských zemích EU) </w:t>
      </w:r>
      <w:r w:rsidRPr="00277821">
        <w:rPr>
          <w:rFonts w:ascii="Calibri" w:hAnsi="Calibri"/>
          <w:b/>
          <w:sz w:val="26"/>
          <w:szCs w:val="26"/>
        </w:rPr>
        <w:t xml:space="preserve">v ČR </w:t>
      </w:r>
      <w:r w:rsidRPr="00277821">
        <w:rPr>
          <w:rFonts w:ascii="Calibri" w:hAnsi="Calibri"/>
          <w:b/>
          <w:bCs/>
          <w:sz w:val="26"/>
          <w:szCs w:val="26"/>
        </w:rPr>
        <w:t xml:space="preserve">činil meziročně v lednu 108,8 %, v únoru 110,0 % a v březnu 111,9 %. </w:t>
      </w:r>
      <w:r w:rsidRPr="00277821">
        <w:rPr>
          <w:rFonts w:ascii="Calibri" w:hAnsi="Calibri"/>
          <w:bCs/>
          <w:sz w:val="26"/>
          <w:szCs w:val="26"/>
        </w:rPr>
        <w:t>V EU 27 byly meziroční hodnoty HICP v těchto měsících 105,6 %, 106,2 % a 107,8 %.</w:t>
      </w:r>
      <w:r w:rsidRPr="00277821">
        <w:rPr>
          <w:rFonts w:ascii="Calibri" w:hAnsi="Calibri"/>
          <w:sz w:val="26"/>
          <w:szCs w:val="26"/>
        </w:rPr>
        <w:t xml:space="preserve"> Nejvyšší úroveň tohoto ukazatele vykázala v prvních třech měsících roku 2022 Litva, Estonsko a Česko, nejnižších hodnot naopak dosáhla Francie, Malta a Portugalsko.</w:t>
      </w:r>
    </w:p>
    <w:p w14:paraId="60B3EDDD" w14:textId="77777777" w:rsidR="000150A7" w:rsidRPr="00AA590D" w:rsidRDefault="000150A7" w:rsidP="000150A7">
      <w:pPr>
        <w:pStyle w:val="Odstavecseseznamem"/>
        <w:numPr>
          <w:ilvl w:val="0"/>
          <w:numId w:val="7"/>
        </w:numPr>
      </w:pPr>
      <w:r w:rsidRPr="00AA590D">
        <w:br w:type="page"/>
      </w:r>
    </w:p>
    <w:p w14:paraId="7C724C53" w14:textId="77777777" w:rsidR="00562005" w:rsidRPr="00DF6DCA" w:rsidRDefault="00562005" w:rsidP="000965DE">
      <w:pPr>
        <w:spacing w:after="360" w:line="360" w:lineRule="auto"/>
        <w:jc w:val="both"/>
        <w:rPr>
          <w:rFonts w:asciiTheme="minorHAnsi" w:hAnsiTheme="minorHAnsi"/>
          <w:b/>
          <w:bCs/>
          <w:smallCaps/>
          <w:color w:val="1F497D"/>
          <w:sz w:val="44"/>
          <w:szCs w:val="44"/>
        </w:rPr>
      </w:pPr>
      <w:r w:rsidRPr="00DF6DCA">
        <w:rPr>
          <w:rFonts w:asciiTheme="minorHAnsi" w:hAnsiTheme="minorHAnsi"/>
          <w:b/>
          <w:bCs/>
          <w:smallCaps/>
          <w:color w:val="1F497D"/>
          <w:sz w:val="44"/>
          <w:szCs w:val="44"/>
        </w:rPr>
        <w:lastRenderedPageBreak/>
        <w:t>3.</w:t>
      </w:r>
      <w:r>
        <w:rPr>
          <w:rFonts w:asciiTheme="minorHAnsi" w:hAnsiTheme="minorHAnsi"/>
          <w:b/>
          <w:bCs/>
          <w:smallCaps/>
          <w:color w:val="1F497D"/>
          <w:sz w:val="44"/>
          <w:szCs w:val="44"/>
        </w:rPr>
        <w:tab/>
      </w:r>
      <w:r w:rsidRPr="00DF6DCA">
        <w:rPr>
          <w:rFonts w:asciiTheme="minorHAnsi" w:hAnsiTheme="minorHAnsi"/>
          <w:b/>
          <w:bCs/>
          <w:smallCaps/>
          <w:color w:val="1F497D"/>
          <w:sz w:val="44"/>
          <w:szCs w:val="44"/>
        </w:rPr>
        <w:t>Peněžní výdaje, úvěry a úspory domácností</w:t>
      </w:r>
    </w:p>
    <w:p w14:paraId="0FA393BA" w14:textId="77777777" w:rsidR="007C60E1" w:rsidRPr="007C60E1" w:rsidRDefault="007C60E1" w:rsidP="000965DE">
      <w:pPr>
        <w:spacing w:line="360" w:lineRule="auto"/>
        <w:jc w:val="both"/>
        <w:rPr>
          <w:rFonts w:ascii="Calibri" w:hAnsi="Calibri"/>
          <w:b/>
          <w:sz w:val="26"/>
          <w:szCs w:val="26"/>
        </w:rPr>
      </w:pPr>
      <w:bookmarkStart w:id="2" w:name="_Hlk44597522"/>
      <w:r w:rsidRPr="007C60E1">
        <w:rPr>
          <w:rFonts w:ascii="Calibri" w:hAnsi="Calibri"/>
          <w:sz w:val="26"/>
          <w:szCs w:val="26"/>
        </w:rPr>
        <w:tab/>
        <w:t xml:space="preserve">Ze statistiky národních účtů ČSÚ vyplývá, </w:t>
      </w:r>
      <w:bookmarkStart w:id="3" w:name="x__Hlk44597522"/>
      <w:r w:rsidRPr="007C60E1">
        <w:rPr>
          <w:rFonts w:ascii="Calibri" w:hAnsi="Calibri" w:cs="Calibri"/>
          <w:sz w:val="26"/>
          <w:szCs w:val="26"/>
        </w:rPr>
        <w:t xml:space="preserve">že ačkoliv dochází v mezinárodním srovnání spíše k pomalejšímu oživení ekonomiky, tak </w:t>
      </w:r>
      <w:r w:rsidRPr="007C60E1">
        <w:rPr>
          <w:rFonts w:ascii="Calibri" w:hAnsi="Calibri" w:cs="Calibri"/>
          <w:b/>
          <w:bCs/>
          <w:sz w:val="26"/>
          <w:szCs w:val="26"/>
        </w:rPr>
        <w:t xml:space="preserve">výdaje na konečnou spotřebu domácností měly </w:t>
      </w:r>
      <w:r w:rsidRPr="007C60E1">
        <w:rPr>
          <w:rFonts w:ascii="Calibri" w:hAnsi="Calibri" w:cs="Calibri"/>
          <w:sz w:val="26"/>
          <w:szCs w:val="26"/>
        </w:rPr>
        <w:t xml:space="preserve">v 1. čtvrtletí 2022 </w:t>
      </w:r>
      <w:r w:rsidRPr="007C60E1">
        <w:rPr>
          <w:rFonts w:ascii="Calibri" w:hAnsi="Calibri" w:cs="Calibri"/>
          <w:b/>
          <w:bCs/>
          <w:sz w:val="26"/>
          <w:szCs w:val="26"/>
        </w:rPr>
        <w:t>k vývoji národního hospodářství výrazně kladný příspěvek</w:t>
      </w:r>
      <w:bookmarkEnd w:id="3"/>
      <w:r w:rsidRPr="007C60E1">
        <w:rPr>
          <w:rFonts w:ascii="Calibri" w:hAnsi="Calibri"/>
          <w:b/>
          <w:sz w:val="26"/>
          <w:szCs w:val="26"/>
        </w:rPr>
        <w:t>:</w:t>
      </w:r>
    </w:p>
    <w:p w14:paraId="116701FE" w14:textId="77777777" w:rsidR="007C60E1" w:rsidRPr="007C60E1" w:rsidRDefault="007C60E1" w:rsidP="007C60E1">
      <w:pPr>
        <w:numPr>
          <w:ilvl w:val="0"/>
          <w:numId w:val="19"/>
        </w:numPr>
        <w:tabs>
          <w:tab w:val="num" w:pos="720"/>
        </w:tabs>
        <w:spacing w:after="120" w:line="360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7C60E1">
        <w:rPr>
          <w:rFonts w:ascii="Calibri" w:hAnsi="Calibri" w:cs="Calibri"/>
          <w:b/>
          <w:sz w:val="26"/>
          <w:szCs w:val="26"/>
        </w:rPr>
        <w:t xml:space="preserve">sektor </w:t>
      </w:r>
      <w:r w:rsidRPr="007C60E1">
        <w:rPr>
          <w:rFonts w:ascii="Calibri" w:hAnsi="Calibri" w:cs="Calibri"/>
          <w:b/>
          <w:bCs/>
          <w:sz w:val="26"/>
          <w:szCs w:val="26"/>
        </w:rPr>
        <w:t xml:space="preserve">domácností vynaložil celkem 722,9 mld. Kč na výdaje spojené s individuální spotřebou </w:t>
      </w:r>
      <w:r w:rsidRPr="007C60E1">
        <w:rPr>
          <w:rFonts w:ascii="Calibri" w:hAnsi="Calibri" w:cs="Calibri"/>
          <w:sz w:val="26"/>
          <w:szCs w:val="26"/>
        </w:rPr>
        <w:t xml:space="preserve">(o 21,0 % více než o rok dříve); </w:t>
      </w:r>
      <w:r w:rsidRPr="007C60E1">
        <w:rPr>
          <w:rFonts w:ascii="Calibri" w:hAnsi="Calibri" w:cs="Calibri"/>
          <w:b/>
          <w:bCs/>
          <w:sz w:val="26"/>
          <w:szCs w:val="26"/>
        </w:rPr>
        <w:t>domácnosti</w:t>
      </w:r>
      <w:r w:rsidRPr="007C60E1">
        <w:rPr>
          <w:rFonts w:ascii="Calibri" w:hAnsi="Calibri" w:cs="Calibri"/>
          <w:sz w:val="26"/>
          <w:szCs w:val="26"/>
        </w:rPr>
        <w:t xml:space="preserve"> tak – po zohlednění cenové inflace – </w:t>
      </w:r>
      <w:r w:rsidRPr="007C60E1">
        <w:rPr>
          <w:rFonts w:ascii="Calibri" w:hAnsi="Calibri" w:cs="Calibri"/>
          <w:b/>
          <w:bCs/>
          <w:sz w:val="26"/>
          <w:szCs w:val="26"/>
        </w:rPr>
        <w:t>nakoupily zboží a služby</w:t>
      </w:r>
      <w:r w:rsidRPr="007C60E1">
        <w:rPr>
          <w:rFonts w:ascii="Calibri" w:hAnsi="Calibri" w:cs="Calibri"/>
          <w:sz w:val="26"/>
          <w:szCs w:val="26"/>
        </w:rPr>
        <w:t xml:space="preserve"> reálně v objemu o cca 52,8 mld. Kč </w:t>
      </w:r>
      <w:r w:rsidRPr="007C60E1">
        <w:rPr>
          <w:rFonts w:ascii="Calibri" w:hAnsi="Calibri" w:cs="Calibri"/>
          <w:b/>
          <w:bCs/>
          <w:sz w:val="26"/>
          <w:szCs w:val="26"/>
        </w:rPr>
        <w:t xml:space="preserve">vyšším </w:t>
      </w:r>
      <w:r w:rsidRPr="007C60E1">
        <w:rPr>
          <w:rFonts w:ascii="Calibri" w:hAnsi="Calibri" w:cs="Calibri"/>
          <w:sz w:val="26"/>
          <w:szCs w:val="26"/>
        </w:rPr>
        <w:t>než před rokem (viz tabulku č. 1 v příloze).</w:t>
      </w:r>
    </w:p>
    <w:p w14:paraId="37C42253" w14:textId="77777777" w:rsidR="007C60E1" w:rsidRPr="007C60E1" w:rsidRDefault="007C60E1" w:rsidP="007C60E1">
      <w:pPr>
        <w:spacing w:after="120" w:line="360" w:lineRule="auto"/>
        <w:jc w:val="both"/>
        <w:rPr>
          <w:rFonts w:ascii="Calibri" w:hAnsi="Calibri"/>
          <w:sz w:val="26"/>
          <w:szCs w:val="26"/>
        </w:rPr>
      </w:pPr>
    </w:p>
    <w:bookmarkEnd w:id="2"/>
    <w:p w14:paraId="7A6594B4" w14:textId="0189E3B6" w:rsidR="007C60E1" w:rsidRPr="007C60E1" w:rsidRDefault="000965DE" w:rsidP="000965DE">
      <w:pPr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7C60E1">
        <w:rPr>
          <w:rFonts w:ascii="Calibri" w:hAnsi="Calibri"/>
          <w:sz w:val="26"/>
          <w:szCs w:val="26"/>
        </w:rPr>
        <w:tab/>
      </w:r>
      <w:r w:rsidR="007C60E1" w:rsidRPr="007C60E1">
        <w:rPr>
          <w:rFonts w:ascii="Calibri" w:hAnsi="Calibri"/>
          <w:b/>
          <w:bCs/>
          <w:sz w:val="26"/>
          <w:szCs w:val="26"/>
        </w:rPr>
        <w:t>Zrychlující dynamika růstu zadlužení domácností</w:t>
      </w:r>
      <w:r w:rsidR="007C60E1" w:rsidRPr="007C60E1">
        <w:rPr>
          <w:rFonts w:ascii="Calibri" w:hAnsi="Calibri"/>
          <w:sz w:val="26"/>
          <w:szCs w:val="26"/>
        </w:rPr>
        <w:t xml:space="preserve">, kterou lze sledovat od roku 2020, nadále </w:t>
      </w:r>
      <w:r w:rsidR="007C60E1" w:rsidRPr="007C60E1">
        <w:rPr>
          <w:rFonts w:ascii="Calibri" w:hAnsi="Calibri"/>
          <w:b/>
          <w:bCs/>
          <w:sz w:val="26"/>
          <w:szCs w:val="26"/>
        </w:rPr>
        <w:t>pokračovala i v prvních třech měsících tohoto roku.</w:t>
      </w:r>
      <w:r w:rsidR="007C60E1" w:rsidRPr="007C60E1">
        <w:rPr>
          <w:rFonts w:ascii="Calibri" w:hAnsi="Calibri"/>
          <w:sz w:val="26"/>
          <w:szCs w:val="26"/>
        </w:rPr>
        <w:t xml:space="preserve"> </w:t>
      </w:r>
      <w:r w:rsidR="007C60E1" w:rsidRPr="007C60E1">
        <w:rPr>
          <w:rFonts w:ascii="Calibri" w:hAnsi="Calibri"/>
          <w:bCs/>
          <w:sz w:val="26"/>
          <w:szCs w:val="26"/>
        </w:rPr>
        <w:t>P</w:t>
      </w:r>
      <w:r w:rsidR="007C60E1" w:rsidRPr="007C60E1">
        <w:rPr>
          <w:rFonts w:ascii="Calibri" w:hAnsi="Calibri"/>
          <w:sz w:val="26"/>
          <w:szCs w:val="26"/>
        </w:rPr>
        <w:t xml:space="preserve">odle údajů ČNB činil </w:t>
      </w:r>
      <w:r w:rsidR="007C60E1" w:rsidRPr="007C60E1">
        <w:rPr>
          <w:rFonts w:ascii="Calibri" w:hAnsi="Calibri"/>
          <w:b/>
          <w:bCs/>
          <w:sz w:val="26"/>
          <w:szCs w:val="26"/>
        </w:rPr>
        <w:t xml:space="preserve">úhrnný objem půjček domácností </w:t>
      </w:r>
      <w:r w:rsidR="007C60E1" w:rsidRPr="007C60E1">
        <w:rPr>
          <w:rFonts w:ascii="Calibri" w:hAnsi="Calibri"/>
          <w:sz w:val="26"/>
          <w:szCs w:val="26"/>
        </w:rPr>
        <w:t xml:space="preserve">k 31. březnu 2022 celkem </w:t>
      </w:r>
      <w:r w:rsidR="007C60E1" w:rsidRPr="007C60E1">
        <w:rPr>
          <w:rFonts w:ascii="Calibri" w:hAnsi="Calibri"/>
          <w:b/>
          <w:sz w:val="26"/>
          <w:szCs w:val="26"/>
        </w:rPr>
        <w:t>2 084,8 </w:t>
      </w:r>
      <w:r w:rsidR="007C60E1" w:rsidRPr="007C60E1">
        <w:rPr>
          <w:rFonts w:ascii="Calibri" w:hAnsi="Calibri"/>
          <w:b/>
          <w:bCs/>
          <w:sz w:val="26"/>
          <w:szCs w:val="26"/>
        </w:rPr>
        <w:t>mld. Kč,</w:t>
      </w:r>
      <w:r w:rsidR="007C60E1" w:rsidRPr="007C60E1">
        <w:rPr>
          <w:rFonts w:ascii="Calibri" w:hAnsi="Calibri"/>
          <w:sz w:val="26"/>
          <w:szCs w:val="26"/>
        </w:rPr>
        <w:t xml:space="preserve"> </w:t>
      </w:r>
      <w:r w:rsidR="007C60E1" w:rsidRPr="007C60E1">
        <w:rPr>
          <w:rFonts w:ascii="Calibri" w:hAnsi="Calibri"/>
          <w:bCs/>
          <w:sz w:val="26"/>
          <w:szCs w:val="26"/>
        </w:rPr>
        <w:t>což</w:t>
      </w:r>
      <w:r>
        <w:rPr>
          <w:rFonts w:ascii="Calibri" w:hAnsi="Calibri"/>
          <w:bCs/>
          <w:sz w:val="26"/>
          <w:szCs w:val="26"/>
        </w:rPr>
        <w:t> </w:t>
      </w:r>
      <w:r w:rsidR="007C60E1" w:rsidRPr="007C60E1">
        <w:rPr>
          <w:rFonts w:ascii="Calibri" w:hAnsi="Calibri"/>
          <w:bCs/>
          <w:sz w:val="26"/>
          <w:szCs w:val="26"/>
        </w:rPr>
        <w:t>bylo</w:t>
      </w:r>
      <w:r w:rsidR="007C60E1" w:rsidRPr="007C60E1">
        <w:rPr>
          <w:rFonts w:ascii="Calibri" w:hAnsi="Calibri"/>
          <w:sz w:val="26"/>
          <w:szCs w:val="26"/>
        </w:rPr>
        <w:t xml:space="preserve"> </w:t>
      </w:r>
      <w:r w:rsidR="007C60E1" w:rsidRPr="007C60E1">
        <w:rPr>
          <w:rFonts w:ascii="Calibri" w:hAnsi="Calibri"/>
          <w:b/>
          <w:bCs/>
          <w:sz w:val="26"/>
          <w:szCs w:val="26"/>
        </w:rPr>
        <w:t>o 194,9 mld. Kč (10,3 %) více než</w:t>
      </w:r>
      <w:r w:rsidR="007C60E1" w:rsidRPr="007C60E1">
        <w:rPr>
          <w:rFonts w:ascii="Calibri" w:hAnsi="Calibri"/>
          <w:bCs/>
          <w:sz w:val="26"/>
          <w:szCs w:val="26"/>
        </w:rPr>
        <w:t xml:space="preserve"> </w:t>
      </w:r>
      <w:r w:rsidR="007C60E1" w:rsidRPr="007C60E1">
        <w:rPr>
          <w:rFonts w:ascii="Calibri" w:hAnsi="Calibri"/>
          <w:b/>
          <w:bCs/>
          <w:sz w:val="26"/>
          <w:szCs w:val="26"/>
        </w:rPr>
        <w:t>ke stejnému datu roku 2021</w:t>
      </w:r>
      <w:r w:rsidR="007C60E1" w:rsidRPr="007C60E1">
        <w:rPr>
          <w:rFonts w:ascii="Calibri" w:hAnsi="Calibri"/>
          <w:bCs/>
          <w:sz w:val="26"/>
          <w:szCs w:val="26"/>
        </w:rPr>
        <w:t xml:space="preserve"> (viz tabulku č. 22 v příloze):</w:t>
      </w:r>
    </w:p>
    <w:p w14:paraId="2606B354" w14:textId="77777777" w:rsidR="007C60E1" w:rsidRPr="007C60E1" w:rsidRDefault="007C60E1" w:rsidP="000965DE">
      <w:pPr>
        <w:numPr>
          <w:ilvl w:val="0"/>
          <w:numId w:val="19"/>
        </w:numPr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7C60E1">
        <w:rPr>
          <w:rFonts w:ascii="Calibri" w:hAnsi="Calibri"/>
          <w:b/>
          <w:bCs/>
          <w:sz w:val="26"/>
          <w:szCs w:val="26"/>
        </w:rPr>
        <w:t>rozhodující část</w:t>
      </w:r>
      <w:r w:rsidRPr="007C60E1">
        <w:rPr>
          <w:rFonts w:ascii="Calibri" w:hAnsi="Calibri"/>
          <w:sz w:val="26"/>
          <w:szCs w:val="26"/>
        </w:rPr>
        <w:t xml:space="preserve"> meziročního </w:t>
      </w:r>
      <w:r w:rsidRPr="007C60E1">
        <w:rPr>
          <w:rFonts w:ascii="Calibri" w:hAnsi="Calibri"/>
          <w:b/>
          <w:bCs/>
          <w:sz w:val="26"/>
          <w:szCs w:val="26"/>
        </w:rPr>
        <w:t xml:space="preserve">vzestupu objemu </w:t>
      </w:r>
      <w:r w:rsidRPr="007C60E1">
        <w:rPr>
          <w:rFonts w:ascii="Calibri" w:hAnsi="Calibri"/>
          <w:sz w:val="26"/>
          <w:szCs w:val="26"/>
        </w:rPr>
        <w:t xml:space="preserve">bankovních peněžních </w:t>
      </w:r>
      <w:r w:rsidRPr="007C60E1">
        <w:rPr>
          <w:rFonts w:ascii="Calibri" w:hAnsi="Calibri"/>
          <w:b/>
          <w:bCs/>
          <w:sz w:val="26"/>
          <w:szCs w:val="26"/>
        </w:rPr>
        <w:t>půjček</w:t>
      </w:r>
      <w:r w:rsidRPr="007C60E1">
        <w:rPr>
          <w:rFonts w:ascii="Calibri" w:hAnsi="Calibri"/>
          <w:sz w:val="26"/>
          <w:szCs w:val="26"/>
        </w:rPr>
        <w:t xml:space="preserve"> </w:t>
      </w:r>
      <w:r w:rsidRPr="007C60E1">
        <w:rPr>
          <w:rFonts w:ascii="Calibri" w:hAnsi="Calibri"/>
          <w:b/>
          <w:bCs/>
          <w:sz w:val="26"/>
          <w:szCs w:val="26"/>
        </w:rPr>
        <w:t>představovaly úvěry spojené s bydlením</w:t>
      </w:r>
      <w:r w:rsidRPr="007C60E1">
        <w:rPr>
          <w:rFonts w:ascii="Calibri" w:hAnsi="Calibri"/>
          <w:b/>
          <w:sz w:val="26"/>
          <w:szCs w:val="26"/>
        </w:rPr>
        <w:t>,</w:t>
      </w:r>
      <w:r w:rsidRPr="007C60E1">
        <w:rPr>
          <w:rFonts w:ascii="Calibri" w:hAnsi="Calibri"/>
          <w:b/>
          <w:bCs/>
          <w:sz w:val="26"/>
          <w:szCs w:val="26"/>
        </w:rPr>
        <w:t xml:space="preserve"> </w:t>
      </w:r>
      <w:r w:rsidRPr="007C60E1">
        <w:rPr>
          <w:rFonts w:ascii="Calibri" w:hAnsi="Calibri"/>
          <w:sz w:val="26"/>
          <w:szCs w:val="26"/>
        </w:rPr>
        <w:t xml:space="preserve">jejichž </w:t>
      </w:r>
      <w:r w:rsidRPr="007C60E1">
        <w:rPr>
          <w:rFonts w:ascii="Calibri" w:hAnsi="Calibri"/>
          <w:b/>
          <w:sz w:val="26"/>
          <w:szCs w:val="26"/>
        </w:rPr>
        <w:t>celkový objem</w:t>
      </w:r>
      <w:r w:rsidRPr="007C60E1">
        <w:rPr>
          <w:rFonts w:ascii="Calibri" w:hAnsi="Calibri"/>
          <w:b/>
          <w:bCs/>
          <w:sz w:val="26"/>
          <w:szCs w:val="26"/>
        </w:rPr>
        <w:t xml:space="preserve"> 1 627,0 mld. Kč </w:t>
      </w:r>
      <w:r w:rsidRPr="007C60E1">
        <w:rPr>
          <w:rFonts w:ascii="Calibri" w:hAnsi="Calibri"/>
          <w:sz w:val="26"/>
          <w:szCs w:val="26"/>
        </w:rPr>
        <w:t>byl o 162</w:t>
      </w:r>
      <w:r w:rsidRPr="007C60E1">
        <w:rPr>
          <w:rFonts w:ascii="Calibri" w:hAnsi="Calibri"/>
          <w:bCs/>
          <w:sz w:val="26"/>
          <w:szCs w:val="26"/>
        </w:rPr>
        <w:t xml:space="preserve">,5 mld. Kč </w:t>
      </w:r>
      <w:r w:rsidRPr="007C60E1">
        <w:rPr>
          <w:rFonts w:ascii="Calibri" w:hAnsi="Calibri"/>
          <w:sz w:val="26"/>
          <w:szCs w:val="26"/>
        </w:rPr>
        <w:t>vyšší (11,1 %) než o rok dříve. Meziroční dynamika růstu půjček na bydlení se v prvním čtvrtletí při srovnání se stejným obdobím minulého roku zvýšila,</w:t>
      </w:r>
    </w:p>
    <w:p w14:paraId="6A1A73C1" w14:textId="4E38C7EF" w:rsidR="007C60E1" w:rsidRPr="007C60E1" w:rsidRDefault="007C60E1" w:rsidP="000965DE">
      <w:pPr>
        <w:numPr>
          <w:ilvl w:val="0"/>
          <w:numId w:val="19"/>
        </w:numPr>
        <w:spacing w:line="360" w:lineRule="auto"/>
        <w:jc w:val="both"/>
        <w:rPr>
          <w:rFonts w:ascii="Calibri" w:hAnsi="Calibri"/>
          <w:bCs/>
          <w:sz w:val="26"/>
          <w:szCs w:val="26"/>
        </w:rPr>
      </w:pPr>
      <w:r w:rsidRPr="007C60E1">
        <w:rPr>
          <w:rFonts w:ascii="Calibri" w:hAnsi="Calibri"/>
          <w:b/>
          <w:bCs/>
          <w:sz w:val="26"/>
          <w:szCs w:val="26"/>
        </w:rPr>
        <w:t>objem</w:t>
      </w:r>
      <w:r w:rsidRPr="007C60E1">
        <w:rPr>
          <w:rFonts w:ascii="Calibri" w:hAnsi="Calibri"/>
          <w:sz w:val="26"/>
          <w:szCs w:val="26"/>
        </w:rPr>
        <w:t xml:space="preserve"> </w:t>
      </w:r>
      <w:r w:rsidRPr="007C60E1">
        <w:rPr>
          <w:rFonts w:ascii="Calibri" w:hAnsi="Calibri"/>
          <w:b/>
          <w:sz w:val="26"/>
          <w:szCs w:val="26"/>
        </w:rPr>
        <w:t xml:space="preserve">ostatních </w:t>
      </w:r>
      <w:r w:rsidRPr="007C60E1">
        <w:rPr>
          <w:rFonts w:ascii="Calibri" w:hAnsi="Calibri"/>
          <w:b/>
          <w:bCs/>
          <w:sz w:val="26"/>
          <w:szCs w:val="26"/>
        </w:rPr>
        <w:t xml:space="preserve">úvěrů meziročně vzrostl o 32,4 mld. Kč </w:t>
      </w:r>
      <w:r w:rsidRPr="007C60E1">
        <w:rPr>
          <w:rFonts w:ascii="Calibri" w:hAnsi="Calibri"/>
          <w:bCs/>
          <w:sz w:val="26"/>
          <w:szCs w:val="26"/>
        </w:rPr>
        <w:t xml:space="preserve">(celkem 457,8 mld. Kč). </w:t>
      </w:r>
      <w:r w:rsidRPr="007C60E1">
        <w:rPr>
          <w:rFonts w:ascii="Calibri" w:hAnsi="Calibri"/>
          <w:sz w:val="26"/>
          <w:szCs w:val="26"/>
        </w:rPr>
        <w:t>Od začátku roku se však celkový objem ostatních úvěrů zvýšil pouze o 6,2 mld. Kč.</w:t>
      </w:r>
      <w:r w:rsidRPr="007C60E1">
        <w:rPr>
          <w:rFonts w:ascii="Calibri" w:hAnsi="Calibri"/>
          <w:bCs/>
          <w:sz w:val="26"/>
          <w:szCs w:val="26"/>
        </w:rPr>
        <w:t xml:space="preserve"> Výdaje na spotřebu domácností byly ve sledovaném období pokrývány z</w:t>
      </w:r>
      <w:r w:rsidR="000965DE">
        <w:rPr>
          <w:rFonts w:ascii="Calibri" w:hAnsi="Calibri"/>
          <w:bCs/>
          <w:sz w:val="26"/>
          <w:szCs w:val="26"/>
        </w:rPr>
        <w:t> </w:t>
      </w:r>
      <w:r w:rsidRPr="007C60E1">
        <w:rPr>
          <w:rFonts w:ascii="Calibri" w:hAnsi="Calibri"/>
          <w:bCs/>
          <w:sz w:val="26"/>
          <w:szCs w:val="26"/>
        </w:rPr>
        <w:t>disponibilních příjmů či úspor,</w:t>
      </w:r>
    </w:p>
    <w:p w14:paraId="13D7B5F1" w14:textId="77777777" w:rsidR="007C60E1" w:rsidRPr="007C60E1" w:rsidRDefault="007C60E1" w:rsidP="000965DE">
      <w:pPr>
        <w:numPr>
          <w:ilvl w:val="0"/>
          <w:numId w:val="19"/>
        </w:num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7C60E1">
        <w:rPr>
          <w:rFonts w:ascii="Calibri" w:hAnsi="Calibri"/>
          <w:b/>
          <w:bCs/>
          <w:sz w:val="26"/>
          <w:szCs w:val="26"/>
        </w:rPr>
        <w:t xml:space="preserve">podíl nevýkonných úvěrů domácností </w:t>
      </w:r>
      <w:r w:rsidRPr="007C60E1">
        <w:rPr>
          <w:rFonts w:ascii="Calibri" w:hAnsi="Calibri"/>
          <w:sz w:val="26"/>
          <w:szCs w:val="26"/>
        </w:rPr>
        <w:t>(nesplaceny tři po sobě jdoucí splátky úvěru, či došlo k zesplatnění)</w:t>
      </w:r>
      <w:r w:rsidRPr="007C60E1">
        <w:rPr>
          <w:rFonts w:ascii="Calibri" w:hAnsi="Calibri"/>
          <w:b/>
          <w:bCs/>
          <w:sz w:val="26"/>
          <w:szCs w:val="26"/>
        </w:rPr>
        <w:t xml:space="preserve"> klesl na úroveň 1,4 %, </w:t>
      </w:r>
      <w:r w:rsidRPr="007C60E1">
        <w:rPr>
          <w:rFonts w:ascii="Calibri" w:hAnsi="Calibri"/>
          <w:sz w:val="26"/>
          <w:szCs w:val="26"/>
        </w:rPr>
        <w:t>což je o 0,4 p. </w:t>
      </w:r>
      <w:r w:rsidRPr="007C60E1">
        <w:rPr>
          <w:rFonts w:ascii="Calibri" w:hAnsi="Calibri"/>
          <w:bCs/>
          <w:sz w:val="26"/>
          <w:szCs w:val="26"/>
        </w:rPr>
        <w:t>b. méně než minulý rok.</w:t>
      </w:r>
    </w:p>
    <w:p w14:paraId="0D2CDB27" w14:textId="77777777" w:rsidR="000965DE" w:rsidRDefault="000965DE" w:rsidP="000965DE">
      <w:pPr>
        <w:spacing w:after="240" w:line="360" w:lineRule="auto"/>
        <w:jc w:val="both"/>
        <w:rPr>
          <w:rFonts w:ascii="Calibri" w:hAnsi="Calibri"/>
          <w:sz w:val="26"/>
          <w:szCs w:val="26"/>
        </w:rPr>
      </w:pPr>
    </w:p>
    <w:p w14:paraId="556B9792" w14:textId="2582275D" w:rsidR="007C60E1" w:rsidRPr="007C60E1" w:rsidRDefault="000965DE" w:rsidP="000965DE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  <w:r w:rsidRPr="007C60E1">
        <w:rPr>
          <w:rFonts w:ascii="Calibri" w:hAnsi="Calibri"/>
          <w:sz w:val="26"/>
          <w:szCs w:val="26"/>
        </w:rPr>
        <w:lastRenderedPageBreak/>
        <w:tab/>
      </w:r>
      <w:r w:rsidR="007C60E1" w:rsidRPr="007C60E1">
        <w:rPr>
          <w:rFonts w:ascii="Calibri" w:hAnsi="Calibri"/>
          <w:b/>
          <w:bCs/>
          <w:sz w:val="26"/>
          <w:szCs w:val="26"/>
        </w:rPr>
        <w:t>Tvorba úspor domácností začala</w:t>
      </w:r>
      <w:r w:rsidR="007C60E1" w:rsidRPr="007C60E1">
        <w:rPr>
          <w:rFonts w:ascii="Calibri" w:hAnsi="Calibri"/>
          <w:sz w:val="26"/>
          <w:szCs w:val="26"/>
        </w:rPr>
        <w:t xml:space="preserve"> již v průběhu druhé poloviny minulého roku znatelně </w:t>
      </w:r>
      <w:r w:rsidR="007C60E1" w:rsidRPr="007C60E1">
        <w:rPr>
          <w:rFonts w:ascii="Calibri" w:hAnsi="Calibri"/>
          <w:b/>
          <w:bCs/>
          <w:sz w:val="26"/>
          <w:szCs w:val="26"/>
        </w:rPr>
        <w:t>zpomalovat</w:t>
      </w:r>
      <w:r w:rsidR="007C60E1" w:rsidRPr="007C60E1">
        <w:rPr>
          <w:rFonts w:ascii="Calibri" w:hAnsi="Calibri"/>
          <w:sz w:val="26"/>
          <w:szCs w:val="26"/>
        </w:rPr>
        <w:t xml:space="preserve"> a první čtvrtletí 2022 tento trend potvrdilo. </w:t>
      </w:r>
      <w:r w:rsidR="007C60E1" w:rsidRPr="007C60E1">
        <w:rPr>
          <w:rFonts w:ascii="Calibri" w:hAnsi="Calibri"/>
          <w:b/>
          <w:bCs/>
          <w:sz w:val="26"/>
          <w:szCs w:val="26"/>
        </w:rPr>
        <w:t xml:space="preserve">Míra úspor domácností </w:t>
      </w:r>
      <w:r w:rsidR="007C60E1" w:rsidRPr="007C60E1">
        <w:rPr>
          <w:rFonts w:ascii="Calibri" w:hAnsi="Calibri"/>
          <w:sz w:val="26"/>
          <w:szCs w:val="26"/>
        </w:rPr>
        <w:t>dle sektorových účtů ČSÚ</w:t>
      </w:r>
      <w:r w:rsidR="007C60E1" w:rsidRPr="007C60E1">
        <w:rPr>
          <w:rFonts w:ascii="Calibri" w:hAnsi="Calibri"/>
          <w:b/>
          <w:bCs/>
          <w:sz w:val="26"/>
          <w:szCs w:val="26"/>
        </w:rPr>
        <w:t xml:space="preserve"> dosáhla </w:t>
      </w:r>
      <w:r w:rsidR="007C60E1" w:rsidRPr="007C60E1">
        <w:rPr>
          <w:rFonts w:ascii="Calibri" w:hAnsi="Calibri"/>
          <w:sz w:val="26"/>
          <w:szCs w:val="26"/>
        </w:rPr>
        <w:t>v 1. čtvrtletí</w:t>
      </w:r>
      <w:r w:rsidR="007C60E1" w:rsidRPr="007C60E1">
        <w:rPr>
          <w:rFonts w:ascii="Calibri" w:hAnsi="Calibri"/>
          <w:b/>
          <w:bCs/>
          <w:sz w:val="26"/>
          <w:szCs w:val="26"/>
        </w:rPr>
        <w:t xml:space="preserve"> 16,8 %</w:t>
      </w:r>
      <w:r w:rsidR="007C60E1" w:rsidRPr="007C60E1">
        <w:rPr>
          <w:rFonts w:ascii="Calibri" w:hAnsi="Calibri"/>
          <w:sz w:val="26"/>
          <w:szCs w:val="26"/>
        </w:rPr>
        <w:t xml:space="preserve"> a byla tak meziročně nižší o 8,0 p. b.</w:t>
      </w:r>
      <w:r w:rsidR="007C60E1" w:rsidRPr="007C60E1">
        <w:rPr>
          <w:rFonts w:ascii="Calibri" w:hAnsi="Calibri"/>
          <w:b/>
          <w:bCs/>
          <w:sz w:val="26"/>
          <w:szCs w:val="26"/>
        </w:rPr>
        <w:t xml:space="preserve"> </w:t>
      </w:r>
      <w:r w:rsidR="007C60E1" w:rsidRPr="007C60E1">
        <w:rPr>
          <w:rFonts w:ascii="Calibri" w:hAnsi="Calibri"/>
          <w:sz w:val="26"/>
          <w:szCs w:val="26"/>
        </w:rPr>
        <w:t>Výrazná změna nastala rovněž v rámci struktury vkladů domácností.</w:t>
      </w:r>
      <w:r w:rsidR="007C60E1" w:rsidRPr="007C60E1">
        <w:rPr>
          <w:rFonts w:ascii="Calibri" w:hAnsi="Calibri"/>
          <w:b/>
          <w:bCs/>
          <w:sz w:val="26"/>
          <w:szCs w:val="26"/>
        </w:rPr>
        <w:t xml:space="preserve"> </w:t>
      </w:r>
      <w:r w:rsidR="007C60E1" w:rsidRPr="007C60E1">
        <w:rPr>
          <w:rFonts w:ascii="Calibri" w:hAnsi="Calibri"/>
          <w:sz w:val="26"/>
          <w:szCs w:val="26"/>
        </w:rPr>
        <w:t>Celkový objem netermínovaných vkladů (např. běžné účty) začal již ke konci minulého roku klesat, což nastalo naposledy v roce 2007, a naopak termínové vklady v reakci na inflaci a růst úročení zaznamenaly nejvyšší nárůst v tomto století:</w:t>
      </w:r>
      <w:r w:rsidR="007C60E1" w:rsidRPr="007C60E1">
        <w:rPr>
          <w:rFonts w:ascii="Calibri" w:hAnsi="Calibri"/>
          <w:b/>
          <w:bCs/>
          <w:sz w:val="26"/>
          <w:szCs w:val="26"/>
        </w:rPr>
        <w:t xml:space="preserve"> </w:t>
      </w:r>
    </w:p>
    <w:p w14:paraId="1BA29EA6" w14:textId="4E4F643C" w:rsidR="007C60E1" w:rsidRPr="007C60E1" w:rsidRDefault="007C60E1" w:rsidP="000965DE">
      <w:pPr>
        <w:numPr>
          <w:ilvl w:val="0"/>
          <w:numId w:val="18"/>
        </w:numPr>
        <w:tabs>
          <w:tab w:val="num" w:pos="720"/>
        </w:tabs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7C60E1">
        <w:rPr>
          <w:rFonts w:ascii="Calibri" w:hAnsi="Calibri"/>
          <w:b/>
          <w:bCs/>
          <w:sz w:val="26"/>
          <w:szCs w:val="26"/>
        </w:rPr>
        <w:t>celkové vklady domácností se podle dostupných údajů ČNB zvýšily ve srovnání s</w:t>
      </w:r>
      <w:r w:rsidR="002338F0">
        <w:rPr>
          <w:rFonts w:ascii="Calibri" w:hAnsi="Calibri"/>
          <w:b/>
          <w:bCs/>
          <w:sz w:val="26"/>
          <w:szCs w:val="26"/>
        </w:rPr>
        <w:t> </w:t>
      </w:r>
      <w:r w:rsidRPr="007C60E1">
        <w:rPr>
          <w:rFonts w:ascii="Calibri" w:hAnsi="Calibri"/>
          <w:b/>
          <w:bCs/>
          <w:sz w:val="26"/>
          <w:szCs w:val="26"/>
        </w:rPr>
        <w:t xml:space="preserve">předchozím rokem o 3,6 % </w:t>
      </w:r>
      <w:r w:rsidRPr="007C60E1">
        <w:rPr>
          <w:rFonts w:ascii="Calibri" w:hAnsi="Calibri"/>
          <w:sz w:val="26"/>
          <w:szCs w:val="26"/>
        </w:rPr>
        <w:t>(114,2 mld. Kč)</w:t>
      </w:r>
      <w:r w:rsidRPr="007C60E1">
        <w:rPr>
          <w:rFonts w:ascii="Calibri" w:hAnsi="Calibri"/>
          <w:b/>
          <w:bCs/>
          <w:sz w:val="26"/>
          <w:szCs w:val="26"/>
        </w:rPr>
        <w:t xml:space="preserve"> na 3 281,4 mld. Kč </w:t>
      </w:r>
      <w:r w:rsidRPr="007C60E1">
        <w:rPr>
          <w:rFonts w:ascii="Calibri" w:hAnsi="Calibri"/>
          <w:sz w:val="26"/>
          <w:szCs w:val="26"/>
        </w:rPr>
        <w:t>a došlo k nejnižšímu meziročnímu nárůstu od roku 2014. Mezičtvrtletně</w:t>
      </w:r>
      <w:r w:rsidRPr="007C60E1">
        <w:rPr>
          <w:rFonts w:ascii="Calibri" w:hAnsi="Calibri"/>
          <w:bCs/>
          <w:sz w:val="26"/>
          <w:szCs w:val="26"/>
        </w:rPr>
        <w:t xml:space="preserve"> se vklady zvýšily pouze o</w:t>
      </w:r>
      <w:r w:rsidR="000965DE">
        <w:rPr>
          <w:rFonts w:ascii="Calibri" w:hAnsi="Calibri"/>
          <w:bCs/>
          <w:sz w:val="26"/>
          <w:szCs w:val="26"/>
        </w:rPr>
        <w:t> </w:t>
      </w:r>
      <w:r w:rsidRPr="007C60E1">
        <w:rPr>
          <w:rFonts w:ascii="Calibri" w:hAnsi="Calibri"/>
          <w:bCs/>
          <w:sz w:val="26"/>
          <w:szCs w:val="26"/>
        </w:rPr>
        <w:t xml:space="preserve">16,7 mld. Kč, což bylo výrazně méně než ve stejném období předchozího roku (nárůst o 110,4 mld. Kč), </w:t>
      </w:r>
    </w:p>
    <w:p w14:paraId="48ACFB47" w14:textId="77777777" w:rsidR="007C60E1" w:rsidRPr="007C60E1" w:rsidRDefault="007C60E1" w:rsidP="000965DE">
      <w:pPr>
        <w:numPr>
          <w:ilvl w:val="0"/>
          <w:numId w:val="18"/>
        </w:numPr>
        <w:tabs>
          <w:tab w:val="num" w:pos="720"/>
        </w:tabs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7C60E1">
        <w:rPr>
          <w:rFonts w:ascii="Calibri" w:hAnsi="Calibri"/>
          <w:b/>
          <w:sz w:val="26"/>
          <w:szCs w:val="26"/>
        </w:rPr>
        <w:t>netermínované vklady</w:t>
      </w:r>
      <w:r w:rsidRPr="007C60E1">
        <w:rPr>
          <w:rFonts w:ascii="Calibri" w:hAnsi="Calibri"/>
          <w:sz w:val="26"/>
          <w:szCs w:val="26"/>
        </w:rPr>
        <w:t xml:space="preserve"> na konci března celkem </w:t>
      </w:r>
      <w:r w:rsidRPr="007C60E1">
        <w:rPr>
          <w:rFonts w:ascii="Calibri" w:hAnsi="Calibri"/>
          <w:b/>
          <w:sz w:val="26"/>
          <w:szCs w:val="26"/>
        </w:rPr>
        <w:t>meziročně poklesly o 22,7 mld. Kč</w:t>
      </w:r>
      <w:r w:rsidRPr="007C60E1">
        <w:rPr>
          <w:rFonts w:ascii="Calibri" w:hAnsi="Calibri"/>
          <w:sz w:val="26"/>
          <w:szCs w:val="26"/>
        </w:rPr>
        <w:t xml:space="preserve"> </w:t>
      </w:r>
      <w:r w:rsidRPr="007C60E1">
        <w:rPr>
          <w:rFonts w:ascii="Calibri" w:hAnsi="Calibri"/>
          <w:bCs/>
          <w:sz w:val="26"/>
          <w:szCs w:val="26"/>
        </w:rPr>
        <w:t xml:space="preserve">a </w:t>
      </w:r>
      <w:r w:rsidRPr="007C60E1">
        <w:rPr>
          <w:rFonts w:ascii="Calibri" w:hAnsi="Calibri"/>
          <w:b/>
          <w:bCs/>
          <w:sz w:val="26"/>
          <w:szCs w:val="26"/>
        </w:rPr>
        <w:t>t</w:t>
      </w:r>
      <w:r w:rsidRPr="007C60E1">
        <w:rPr>
          <w:rFonts w:ascii="Calibri" w:hAnsi="Calibri"/>
          <w:b/>
          <w:sz w:val="26"/>
          <w:szCs w:val="26"/>
        </w:rPr>
        <w:t>ermínové vklady se zvýšily o 136,9 mld. Kč,</w:t>
      </w:r>
    </w:p>
    <w:p w14:paraId="2F30BCBE" w14:textId="77777777" w:rsidR="007C60E1" w:rsidRPr="007C60E1" w:rsidRDefault="007C60E1" w:rsidP="000965DE">
      <w:pPr>
        <w:numPr>
          <w:ilvl w:val="0"/>
          <w:numId w:val="18"/>
        </w:numPr>
        <w:tabs>
          <w:tab w:val="num" w:pos="720"/>
        </w:tabs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7C60E1">
        <w:rPr>
          <w:rFonts w:ascii="Calibri" w:hAnsi="Calibri"/>
          <w:sz w:val="26"/>
          <w:szCs w:val="26"/>
        </w:rPr>
        <w:t xml:space="preserve">domácnosti využívaly pro vklady převážně domácí měnu. Na konci prvního čtvrtletí roku 2022 činila podle ČNB </w:t>
      </w:r>
      <w:r w:rsidRPr="007C60E1">
        <w:rPr>
          <w:rFonts w:ascii="Calibri" w:hAnsi="Calibri"/>
          <w:b/>
          <w:sz w:val="26"/>
          <w:szCs w:val="26"/>
        </w:rPr>
        <w:t xml:space="preserve">výše </w:t>
      </w:r>
      <w:proofErr w:type="spellStart"/>
      <w:r w:rsidRPr="007C60E1">
        <w:rPr>
          <w:rFonts w:ascii="Calibri" w:hAnsi="Calibri"/>
          <w:b/>
          <w:sz w:val="26"/>
          <w:szCs w:val="26"/>
        </w:rPr>
        <w:t>cizoměnových</w:t>
      </w:r>
      <w:proofErr w:type="spellEnd"/>
      <w:r w:rsidRPr="007C60E1">
        <w:rPr>
          <w:rFonts w:ascii="Calibri" w:hAnsi="Calibri"/>
          <w:b/>
          <w:sz w:val="26"/>
          <w:szCs w:val="26"/>
        </w:rPr>
        <w:t xml:space="preserve"> vkladů 131,9 mld. Kč</w:t>
      </w:r>
      <w:r w:rsidRPr="007C60E1">
        <w:rPr>
          <w:rFonts w:ascii="Calibri" w:hAnsi="Calibri"/>
          <w:sz w:val="26"/>
          <w:szCs w:val="26"/>
        </w:rPr>
        <w:t xml:space="preserve"> a meziročně došlo k jejich zvýšení o 13,2 mld. Kč.</w:t>
      </w:r>
    </w:p>
    <w:p w14:paraId="01234803" w14:textId="727E501D" w:rsidR="00D838E6" w:rsidRPr="000150A7" w:rsidRDefault="00D838E6" w:rsidP="000150A7">
      <w:pPr>
        <w:spacing w:line="480" w:lineRule="auto"/>
        <w:jc w:val="both"/>
        <w:rPr>
          <w:rFonts w:asciiTheme="minorHAnsi" w:hAnsiTheme="minorHAnsi"/>
          <w:sz w:val="26"/>
          <w:szCs w:val="26"/>
        </w:rPr>
      </w:pPr>
    </w:p>
    <w:sectPr w:rsidR="00D838E6" w:rsidRPr="000150A7" w:rsidSect="00A96EE8"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6A65" w14:textId="77777777" w:rsidR="00D8591F" w:rsidRDefault="00D8591F">
      <w:r>
        <w:separator/>
      </w:r>
    </w:p>
  </w:endnote>
  <w:endnote w:type="continuationSeparator" w:id="0">
    <w:p w14:paraId="384A67F4" w14:textId="77777777" w:rsidR="00D8591F" w:rsidRDefault="00D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8B84" w14:textId="77777777" w:rsidR="00621D94" w:rsidRDefault="00621D94" w:rsidP="009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46ECCC" w14:textId="77777777" w:rsidR="00621D94" w:rsidRDefault="00621D94" w:rsidP="009D61E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1B25" w14:textId="77777777" w:rsidR="00621D94" w:rsidRDefault="00621D94" w:rsidP="009D61EF">
    <w:pPr>
      <w:pStyle w:val="Zpat"/>
      <w:framePr w:wrap="around" w:vAnchor="text" w:hAnchor="margin" w:xAlign="center" w:y="1"/>
      <w:ind w:right="360"/>
      <w:rPr>
        <w:rStyle w:val="slostrnky"/>
      </w:rPr>
    </w:pPr>
  </w:p>
  <w:p w14:paraId="499F0AD8" w14:textId="77777777" w:rsidR="00621D94" w:rsidRDefault="00621D94" w:rsidP="0012791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2181" w14:textId="77777777" w:rsidR="00621D94" w:rsidRDefault="00621D9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03DE" w14:textId="77777777" w:rsidR="00621D94" w:rsidRPr="00A96EE8" w:rsidRDefault="00621D94">
    <w:pPr>
      <w:pStyle w:val="Zpat"/>
      <w:jc w:val="center"/>
    </w:pPr>
    <w:r w:rsidRPr="00A96EE8">
      <w:fldChar w:fldCharType="begin"/>
    </w:r>
    <w:r w:rsidRPr="00A96EE8">
      <w:instrText>PAGE   \* MERGEFORMAT</w:instrText>
    </w:r>
    <w:r w:rsidRPr="00A96EE8">
      <w:fldChar w:fldCharType="separate"/>
    </w:r>
    <w:r>
      <w:rPr>
        <w:noProof/>
      </w:rPr>
      <w:t>43</w:t>
    </w:r>
    <w:r w:rsidRPr="00A96EE8">
      <w:fldChar w:fldCharType="end"/>
    </w:r>
  </w:p>
  <w:p w14:paraId="7EA040E0" w14:textId="77777777" w:rsidR="00621D94" w:rsidRDefault="00621D94" w:rsidP="009D61E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F249" w14:textId="77777777" w:rsidR="00D8591F" w:rsidRDefault="00D8591F">
      <w:r>
        <w:separator/>
      </w:r>
    </w:p>
  </w:footnote>
  <w:footnote w:type="continuationSeparator" w:id="0">
    <w:p w14:paraId="71647967" w14:textId="77777777" w:rsidR="00D8591F" w:rsidRDefault="00D8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B496" w14:textId="77777777" w:rsidR="00621D94" w:rsidRDefault="00621D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4776" w14:textId="77777777" w:rsidR="00621D94" w:rsidRDefault="00621D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1758" w14:textId="77777777" w:rsidR="00621D94" w:rsidRDefault="00621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A5A"/>
    <w:multiLevelType w:val="hybridMultilevel"/>
    <w:tmpl w:val="662284FC"/>
    <w:lvl w:ilvl="0" w:tplc="DC343C0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D2C"/>
    <w:multiLevelType w:val="hybridMultilevel"/>
    <w:tmpl w:val="C598CADE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56A66"/>
    <w:multiLevelType w:val="hybridMultilevel"/>
    <w:tmpl w:val="3628EEFE"/>
    <w:lvl w:ilvl="0" w:tplc="B3069C9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75E5A62"/>
    <w:multiLevelType w:val="hybridMultilevel"/>
    <w:tmpl w:val="71FAFD9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060E4"/>
    <w:multiLevelType w:val="hybridMultilevel"/>
    <w:tmpl w:val="ABB831C4"/>
    <w:lvl w:ilvl="0" w:tplc="DC343C0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0D56998"/>
    <w:multiLevelType w:val="hybridMultilevel"/>
    <w:tmpl w:val="8E1E9878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3D00"/>
    <w:multiLevelType w:val="hybridMultilevel"/>
    <w:tmpl w:val="C72A302A"/>
    <w:lvl w:ilvl="0" w:tplc="DC343C0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91E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1042A3"/>
    <w:multiLevelType w:val="hybridMultilevel"/>
    <w:tmpl w:val="32C6325E"/>
    <w:lvl w:ilvl="0" w:tplc="434061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3B147B"/>
    <w:multiLevelType w:val="hybridMultilevel"/>
    <w:tmpl w:val="F05CB9B8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4034A"/>
    <w:multiLevelType w:val="hybridMultilevel"/>
    <w:tmpl w:val="994EC4B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6621C"/>
    <w:multiLevelType w:val="hybridMultilevel"/>
    <w:tmpl w:val="447A8DFC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047D3"/>
    <w:multiLevelType w:val="hybridMultilevel"/>
    <w:tmpl w:val="75246BB6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8398E"/>
    <w:multiLevelType w:val="hybridMultilevel"/>
    <w:tmpl w:val="E4C27B2C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1F92"/>
    <w:multiLevelType w:val="hybridMultilevel"/>
    <w:tmpl w:val="C3342592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044C61"/>
    <w:multiLevelType w:val="hybridMultilevel"/>
    <w:tmpl w:val="B8981C4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927D4"/>
    <w:multiLevelType w:val="hybridMultilevel"/>
    <w:tmpl w:val="3B36D8A2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5788E"/>
    <w:multiLevelType w:val="hybridMultilevel"/>
    <w:tmpl w:val="240C3C3E"/>
    <w:lvl w:ilvl="0" w:tplc="B3069C9E">
      <w:start w:val="1"/>
      <w:numFmt w:val="bullet"/>
      <w:lvlText w:val="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C5B47C3"/>
    <w:multiLevelType w:val="hybridMultilevel"/>
    <w:tmpl w:val="B164D452"/>
    <w:lvl w:ilvl="0" w:tplc="DC343C0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F101609"/>
    <w:multiLevelType w:val="hybridMultilevel"/>
    <w:tmpl w:val="F8907670"/>
    <w:lvl w:ilvl="0" w:tplc="434061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0566243"/>
    <w:multiLevelType w:val="hybridMultilevel"/>
    <w:tmpl w:val="D2B4EA92"/>
    <w:lvl w:ilvl="0" w:tplc="DC343C0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F27AC"/>
    <w:multiLevelType w:val="hybridMultilevel"/>
    <w:tmpl w:val="790065DE"/>
    <w:lvl w:ilvl="0" w:tplc="DC343C08">
      <w:start w:val="1"/>
      <w:numFmt w:val="bullet"/>
      <w:lvlText w:val="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15776"/>
    <w:multiLevelType w:val="hybridMultilevel"/>
    <w:tmpl w:val="26D4DDC8"/>
    <w:lvl w:ilvl="0" w:tplc="43406100">
      <w:start w:val="1"/>
      <w:numFmt w:val="bullet"/>
      <w:lvlText w:val="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2"/>
  </w:num>
  <w:num w:numId="5">
    <w:abstractNumId w:val="5"/>
  </w:num>
  <w:num w:numId="6">
    <w:abstractNumId w:val="19"/>
  </w:num>
  <w:num w:numId="7">
    <w:abstractNumId w:val="18"/>
  </w:num>
  <w:num w:numId="8">
    <w:abstractNumId w:val="13"/>
  </w:num>
  <w:num w:numId="9">
    <w:abstractNumId w:val="16"/>
  </w:num>
  <w:num w:numId="10">
    <w:abstractNumId w:val="21"/>
  </w:num>
  <w:num w:numId="11">
    <w:abstractNumId w:val="7"/>
  </w:num>
  <w:num w:numId="12">
    <w:abstractNumId w:val="6"/>
  </w:num>
  <w:num w:numId="13">
    <w:abstractNumId w:val="17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  <w:num w:numId="18">
    <w:abstractNumId w:val="9"/>
  </w:num>
  <w:num w:numId="19">
    <w:abstractNumId w:val="20"/>
  </w:num>
  <w:num w:numId="20">
    <w:abstractNumId w:val="23"/>
  </w:num>
  <w:num w:numId="21">
    <w:abstractNumId w:val="10"/>
  </w:num>
  <w:num w:numId="22">
    <w:abstractNumId w:val="1"/>
  </w:num>
  <w:num w:numId="23">
    <w:abstractNumId w:val="12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43"/>
    <w:rsid w:val="000000EB"/>
    <w:rsid w:val="00001390"/>
    <w:rsid w:val="00002D09"/>
    <w:rsid w:val="00005478"/>
    <w:rsid w:val="00006EB7"/>
    <w:rsid w:val="000072C7"/>
    <w:rsid w:val="00010CDA"/>
    <w:rsid w:val="00010F96"/>
    <w:rsid w:val="0001234D"/>
    <w:rsid w:val="00014B1B"/>
    <w:rsid w:val="000150A7"/>
    <w:rsid w:val="00016405"/>
    <w:rsid w:val="0001665E"/>
    <w:rsid w:val="00023279"/>
    <w:rsid w:val="0002342F"/>
    <w:rsid w:val="00023B53"/>
    <w:rsid w:val="00024DB4"/>
    <w:rsid w:val="00025091"/>
    <w:rsid w:val="00026922"/>
    <w:rsid w:val="00027377"/>
    <w:rsid w:val="000328D2"/>
    <w:rsid w:val="0003341E"/>
    <w:rsid w:val="00034073"/>
    <w:rsid w:val="000346F9"/>
    <w:rsid w:val="00034F71"/>
    <w:rsid w:val="00035DAA"/>
    <w:rsid w:val="00035DBA"/>
    <w:rsid w:val="000369D6"/>
    <w:rsid w:val="00041CA3"/>
    <w:rsid w:val="0004205F"/>
    <w:rsid w:val="000440BF"/>
    <w:rsid w:val="0004595A"/>
    <w:rsid w:val="000500B2"/>
    <w:rsid w:val="000502BC"/>
    <w:rsid w:val="000504EF"/>
    <w:rsid w:val="00053578"/>
    <w:rsid w:val="000566EE"/>
    <w:rsid w:val="00056EE9"/>
    <w:rsid w:val="00057478"/>
    <w:rsid w:val="00060C4C"/>
    <w:rsid w:val="00060CC4"/>
    <w:rsid w:val="000661B2"/>
    <w:rsid w:val="0006719E"/>
    <w:rsid w:val="0006792F"/>
    <w:rsid w:val="00067C1D"/>
    <w:rsid w:val="00067E16"/>
    <w:rsid w:val="000701AD"/>
    <w:rsid w:val="000726C6"/>
    <w:rsid w:val="00073B3B"/>
    <w:rsid w:val="00073B40"/>
    <w:rsid w:val="00074F34"/>
    <w:rsid w:val="000762FD"/>
    <w:rsid w:val="00081885"/>
    <w:rsid w:val="00081987"/>
    <w:rsid w:val="000826CF"/>
    <w:rsid w:val="000836FA"/>
    <w:rsid w:val="00084795"/>
    <w:rsid w:val="0008481A"/>
    <w:rsid w:val="000854E7"/>
    <w:rsid w:val="00086F29"/>
    <w:rsid w:val="0008744E"/>
    <w:rsid w:val="00087F32"/>
    <w:rsid w:val="00092543"/>
    <w:rsid w:val="0009468A"/>
    <w:rsid w:val="00094C4B"/>
    <w:rsid w:val="0009519D"/>
    <w:rsid w:val="000955E9"/>
    <w:rsid w:val="00096186"/>
    <w:rsid w:val="00096434"/>
    <w:rsid w:val="000965DE"/>
    <w:rsid w:val="000967B3"/>
    <w:rsid w:val="00096A7F"/>
    <w:rsid w:val="000A1BD3"/>
    <w:rsid w:val="000A23FD"/>
    <w:rsid w:val="000A2D06"/>
    <w:rsid w:val="000A49DF"/>
    <w:rsid w:val="000A51B8"/>
    <w:rsid w:val="000A6F73"/>
    <w:rsid w:val="000A78CB"/>
    <w:rsid w:val="000B040F"/>
    <w:rsid w:val="000B146B"/>
    <w:rsid w:val="000B2C7E"/>
    <w:rsid w:val="000B2D06"/>
    <w:rsid w:val="000B3FEE"/>
    <w:rsid w:val="000B4160"/>
    <w:rsid w:val="000B4596"/>
    <w:rsid w:val="000B544B"/>
    <w:rsid w:val="000B5B59"/>
    <w:rsid w:val="000B5DDB"/>
    <w:rsid w:val="000B63CD"/>
    <w:rsid w:val="000B65FB"/>
    <w:rsid w:val="000C1FB7"/>
    <w:rsid w:val="000C2543"/>
    <w:rsid w:val="000C47CB"/>
    <w:rsid w:val="000C7AE9"/>
    <w:rsid w:val="000D1F1D"/>
    <w:rsid w:val="000D22CA"/>
    <w:rsid w:val="000D2643"/>
    <w:rsid w:val="000D2729"/>
    <w:rsid w:val="000D2D91"/>
    <w:rsid w:val="000D3364"/>
    <w:rsid w:val="000D7192"/>
    <w:rsid w:val="000D795E"/>
    <w:rsid w:val="000E23ED"/>
    <w:rsid w:val="000E250B"/>
    <w:rsid w:val="000E2B1C"/>
    <w:rsid w:val="000E511A"/>
    <w:rsid w:val="000E5736"/>
    <w:rsid w:val="000E5CDF"/>
    <w:rsid w:val="000F09FF"/>
    <w:rsid w:val="000F100F"/>
    <w:rsid w:val="000F2E55"/>
    <w:rsid w:val="000F4D5D"/>
    <w:rsid w:val="000F4E83"/>
    <w:rsid w:val="000F61B6"/>
    <w:rsid w:val="000F74BA"/>
    <w:rsid w:val="000F7D3E"/>
    <w:rsid w:val="000F7E02"/>
    <w:rsid w:val="0010018E"/>
    <w:rsid w:val="00100DA4"/>
    <w:rsid w:val="0010283B"/>
    <w:rsid w:val="00105C05"/>
    <w:rsid w:val="00105FEC"/>
    <w:rsid w:val="00106D26"/>
    <w:rsid w:val="0011023E"/>
    <w:rsid w:val="00110817"/>
    <w:rsid w:val="00110C58"/>
    <w:rsid w:val="0011361B"/>
    <w:rsid w:val="001153B4"/>
    <w:rsid w:val="00115B02"/>
    <w:rsid w:val="00120272"/>
    <w:rsid w:val="00120885"/>
    <w:rsid w:val="00120A88"/>
    <w:rsid w:val="00120BA1"/>
    <w:rsid w:val="0012342A"/>
    <w:rsid w:val="00127830"/>
    <w:rsid w:val="0012791D"/>
    <w:rsid w:val="00130524"/>
    <w:rsid w:val="00132392"/>
    <w:rsid w:val="00132B48"/>
    <w:rsid w:val="00133E09"/>
    <w:rsid w:val="00135798"/>
    <w:rsid w:val="001367A5"/>
    <w:rsid w:val="001377E1"/>
    <w:rsid w:val="00137FE0"/>
    <w:rsid w:val="00140D80"/>
    <w:rsid w:val="001428A0"/>
    <w:rsid w:val="00143504"/>
    <w:rsid w:val="00145D4A"/>
    <w:rsid w:val="00145F26"/>
    <w:rsid w:val="001477AF"/>
    <w:rsid w:val="00147B50"/>
    <w:rsid w:val="00147D8B"/>
    <w:rsid w:val="00151010"/>
    <w:rsid w:val="001510AF"/>
    <w:rsid w:val="001517E9"/>
    <w:rsid w:val="00152475"/>
    <w:rsid w:val="00153554"/>
    <w:rsid w:val="00156FD4"/>
    <w:rsid w:val="0015735E"/>
    <w:rsid w:val="0015767E"/>
    <w:rsid w:val="001606C1"/>
    <w:rsid w:val="00161574"/>
    <w:rsid w:val="00161851"/>
    <w:rsid w:val="00161EFC"/>
    <w:rsid w:val="00165FA8"/>
    <w:rsid w:val="00166CA9"/>
    <w:rsid w:val="00167FBB"/>
    <w:rsid w:val="0017030E"/>
    <w:rsid w:val="00171413"/>
    <w:rsid w:val="00171D7C"/>
    <w:rsid w:val="00172938"/>
    <w:rsid w:val="0017383F"/>
    <w:rsid w:val="00176DF1"/>
    <w:rsid w:val="0017713A"/>
    <w:rsid w:val="00180012"/>
    <w:rsid w:val="00180982"/>
    <w:rsid w:val="00181966"/>
    <w:rsid w:val="00181ABD"/>
    <w:rsid w:val="0018209C"/>
    <w:rsid w:val="00182E4A"/>
    <w:rsid w:val="00185755"/>
    <w:rsid w:val="00187C6B"/>
    <w:rsid w:val="00190F8C"/>
    <w:rsid w:val="00191E64"/>
    <w:rsid w:val="001920B8"/>
    <w:rsid w:val="0019239A"/>
    <w:rsid w:val="001931AC"/>
    <w:rsid w:val="00194236"/>
    <w:rsid w:val="00195299"/>
    <w:rsid w:val="001966D7"/>
    <w:rsid w:val="001968B0"/>
    <w:rsid w:val="001A09FA"/>
    <w:rsid w:val="001A2454"/>
    <w:rsid w:val="001A277F"/>
    <w:rsid w:val="001A2EFC"/>
    <w:rsid w:val="001A38B4"/>
    <w:rsid w:val="001A3D6D"/>
    <w:rsid w:val="001A408C"/>
    <w:rsid w:val="001A4B38"/>
    <w:rsid w:val="001A5A88"/>
    <w:rsid w:val="001A6B10"/>
    <w:rsid w:val="001B1157"/>
    <w:rsid w:val="001B128E"/>
    <w:rsid w:val="001B44A9"/>
    <w:rsid w:val="001B53E1"/>
    <w:rsid w:val="001B5575"/>
    <w:rsid w:val="001B658E"/>
    <w:rsid w:val="001C00DC"/>
    <w:rsid w:val="001C27D9"/>
    <w:rsid w:val="001C6544"/>
    <w:rsid w:val="001D0DF4"/>
    <w:rsid w:val="001D2A62"/>
    <w:rsid w:val="001D374E"/>
    <w:rsid w:val="001D58C4"/>
    <w:rsid w:val="001D5B7B"/>
    <w:rsid w:val="001D6C57"/>
    <w:rsid w:val="001E1680"/>
    <w:rsid w:val="001E252D"/>
    <w:rsid w:val="001E2B3F"/>
    <w:rsid w:val="001E336C"/>
    <w:rsid w:val="001E3F11"/>
    <w:rsid w:val="001E43C5"/>
    <w:rsid w:val="001E5077"/>
    <w:rsid w:val="001E5C7D"/>
    <w:rsid w:val="001E7439"/>
    <w:rsid w:val="001F0111"/>
    <w:rsid w:val="001F14A5"/>
    <w:rsid w:val="001F2749"/>
    <w:rsid w:val="001F3E7B"/>
    <w:rsid w:val="001F459A"/>
    <w:rsid w:val="001F5296"/>
    <w:rsid w:val="0020140E"/>
    <w:rsid w:val="00201826"/>
    <w:rsid w:val="00205E50"/>
    <w:rsid w:val="0020644C"/>
    <w:rsid w:val="0020740A"/>
    <w:rsid w:val="00211895"/>
    <w:rsid w:val="002137FC"/>
    <w:rsid w:val="0021527E"/>
    <w:rsid w:val="00215776"/>
    <w:rsid w:val="00215C3E"/>
    <w:rsid w:val="0021651C"/>
    <w:rsid w:val="00216DE1"/>
    <w:rsid w:val="0022177B"/>
    <w:rsid w:val="00222F2A"/>
    <w:rsid w:val="0022352C"/>
    <w:rsid w:val="00225A56"/>
    <w:rsid w:val="00225CEB"/>
    <w:rsid w:val="002260E9"/>
    <w:rsid w:val="00227B36"/>
    <w:rsid w:val="0023028A"/>
    <w:rsid w:val="00232F20"/>
    <w:rsid w:val="002338F0"/>
    <w:rsid w:val="00235872"/>
    <w:rsid w:val="00235DC0"/>
    <w:rsid w:val="00236559"/>
    <w:rsid w:val="0024166C"/>
    <w:rsid w:val="00241A60"/>
    <w:rsid w:val="00244164"/>
    <w:rsid w:val="002449FA"/>
    <w:rsid w:val="0024630B"/>
    <w:rsid w:val="002464CC"/>
    <w:rsid w:val="00252F44"/>
    <w:rsid w:val="00256E24"/>
    <w:rsid w:val="00262743"/>
    <w:rsid w:val="002632A7"/>
    <w:rsid w:val="002632B5"/>
    <w:rsid w:val="00263534"/>
    <w:rsid w:val="00263617"/>
    <w:rsid w:val="002641B2"/>
    <w:rsid w:val="0026455F"/>
    <w:rsid w:val="00265AE4"/>
    <w:rsid w:val="00266116"/>
    <w:rsid w:val="00266CD3"/>
    <w:rsid w:val="00272630"/>
    <w:rsid w:val="00273F73"/>
    <w:rsid w:val="002748F4"/>
    <w:rsid w:val="0027649D"/>
    <w:rsid w:val="002774A7"/>
    <w:rsid w:val="0027763A"/>
    <w:rsid w:val="00277821"/>
    <w:rsid w:val="00280FA1"/>
    <w:rsid w:val="002811A6"/>
    <w:rsid w:val="00282C9F"/>
    <w:rsid w:val="002870FA"/>
    <w:rsid w:val="002906EE"/>
    <w:rsid w:val="00292417"/>
    <w:rsid w:val="00292F9B"/>
    <w:rsid w:val="00293309"/>
    <w:rsid w:val="002962F8"/>
    <w:rsid w:val="00297482"/>
    <w:rsid w:val="002975AF"/>
    <w:rsid w:val="00297944"/>
    <w:rsid w:val="002A06EE"/>
    <w:rsid w:val="002A27E1"/>
    <w:rsid w:val="002A2DA4"/>
    <w:rsid w:val="002A5D35"/>
    <w:rsid w:val="002A761D"/>
    <w:rsid w:val="002B04E3"/>
    <w:rsid w:val="002B0520"/>
    <w:rsid w:val="002B0DA2"/>
    <w:rsid w:val="002B3C16"/>
    <w:rsid w:val="002B41D9"/>
    <w:rsid w:val="002B4927"/>
    <w:rsid w:val="002B49B5"/>
    <w:rsid w:val="002B4FAD"/>
    <w:rsid w:val="002B5737"/>
    <w:rsid w:val="002B57AB"/>
    <w:rsid w:val="002B5F67"/>
    <w:rsid w:val="002B6B13"/>
    <w:rsid w:val="002C1344"/>
    <w:rsid w:val="002C349C"/>
    <w:rsid w:val="002C4F03"/>
    <w:rsid w:val="002C4FC9"/>
    <w:rsid w:val="002C5635"/>
    <w:rsid w:val="002D0513"/>
    <w:rsid w:val="002D2480"/>
    <w:rsid w:val="002D3148"/>
    <w:rsid w:val="002D5860"/>
    <w:rsid w:val="002D6851"/>
    <w:rsid w:val="002D784C"/>
    <w:rsid w:val="002E16FC"/>
    <w:rsid w:val="002E2198"/>
    <w:rsid w:val="002E577C"/>
    <w:rsid w:val="002E6107"/>
    <w:rsid w:val="002E6A48"/>
    <w:rsid w:val="002E6E34"/>
    <w:rsid w:val="002E72EE"/>
    <w:rsid w:val="002F0A3D"/>
    <w:rsid w:val="002F23BA"/>
    <w:rsid w:val="002F2A13"/>
    <w:rsid w:val="002F2A17"/>
    <w:rsid w:val="002F484C"/>
    <w:rsid w:val="002F48B8"/>
    <w:rsid w:val="002F5EC4"/>
    <w:rsid w:val="002F7979"/>
    <w:rsid w:val="00301681"/>
    <w:rsid w:val="00302A17"/>
    <w:rsid w:val="00304AB9"/>
    <w:rsid w:val="003071AC"/>
    <w:rsid w:val="00307756"/>
    <w:rsid w:val="0031187B"/>
    <w:rsid w:val="00312156"/>
    <w:rsid w:val="0031452D"/>
    <w:rsid w:val="003160DB"/>
    <w:rsid w:val="00317A34"/>
    <w:rsid w:val="003201D6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34BB"/>
    <w:rsid w:val="003339FA"/>
    <w:rsid w:val="00333BDB"/>
    <w:rsid w:val="0033488C"/>
    <w:rsid w:val="00334B09"/>
    <w:rsid w:val="00335422"/>
    <w:rsid w:val="00335876"/>
    <w:rsid w:val="00335FCC"/>
    <w:rsid w:val="00336B98"/>
    <w:rsid w:val="003402F3"/>
    <w:rsid w:val="00340D55"/>
    <w:rsid w:val="00341F6A"/>
    <w:rsid w:val="003448C2"/>
    <w:rsid w:val="00346852"/>
    <w:rsid w:val="00347013"/>
    <w:rsid w:val="003501F0"/>
    <w:rsid w:val="00352002"/>
    <w:rsid w:val="00353ED1"/>
    <w:rsid w:val="00355C21"/>
    <w:rsid w:val="00357EA8"/>
    <w:rsid w:val="00360495"/>
    <w:rsid w:val="00360F7A"/>
    <w:rsid w:val="0036224E"/>
    <w:rsid w:val="003632E9"/>
    <w:rsid w:val="003639C8"/>
    <w:rsid w:val="0036666D"/>
    <w:rsid w:val="00366B48"/>
    <w:rsid w:val="00367104"/>
    <w:rsid w:val="0037030C"/>
    <w:rsid w:val="00371419"/>
    <w:rsid w:val="00371EA5"/>
    <w:rsid w:val="00371EB5"/>
    <w:rsid w:val="00373A15"/>
    <w:rsid w:val="00373F59"/>
    <w:rsid w:val="0037489B"/>
    <w:rsid w:val="00374E47"/>
    <w:rsid w:val="00375DEC"/>
    <w:rsid w:val="003765A0"/>
    <w:rsid w:val="0037747C"/>
    <w:rsid w:val="0037789C"/>
    <w:rsid w:val="00377D70"/>
    <w:rsid w:val="00380318"/>
    <w:rsid w:val="00381122"/>
    <w:rsid w:val="00381E4A"/>
    <w:rsid w:val="00382F48"/>
    <w:rsid w:val="00385A7D"/>
    <w:rsid w:val="00390B45"/>
    <w:rsid w:val="0039170A"/>
    <w:rsid w:val="00391AAE"/>
    <w:rsid w:val="003939D2"/>
    <w:rsid w:val="00394280"/>
    <w:rsid w:val="003948AB"/>
    <w:rsid w:val="00394EC5"/>
    <w:rsid w:val="00397E8F"/>
    <w:rsid w:val="003A18D1"/>
    <w:rsid w:val="003A1C1B"/>
    <w:rsid w:val="003A2C20"/>
    <w:rsid w:val="003A5FF3"/>
    <w:rsid w:val="003B0FD0"/>
    <w:rsid w:val="003B18D4"/>
    <w:rsid w:val="003B1911"/>
    <w:rsid w:val="003B1C3F"/>
    <w:rsid w:val="003B25DB"/>
    <w:rsid w:val="003B2934"/>
    <w:rsid w:val="003B5B55"/>
    <w:rsid w:val="003C126B"/>
    <w:rsid w:val="003C1513"/>
    <w:rsid w:val="003C1AD7"/>
    <w:rsid w:val="003C25A9"/>
    <w:rsid w:val="003C2A0B"/>
    <w:rsid w:val="003C36AA"/>
    <w:rsid w:val="003C37B1"/>
    <w:rsid w:val="003C3E2F"/>
    <w:rsid w:val="003C5A78"/>
    <w:rsid w:val="003C5FE0"/>
    <w:rsid w:val="003D0781"/>
    <w:rsid w:val="003D1333"/>
    <w:rsid w:val="003D4B36"/>
    <w:rsid w:val="003D679C"/>
    <w:rsid w:val="003D6FEE"/>
    <w:rsid w:val="003D7AD8"/>
    <w:rsid w:val="003E0230"/>
    <w:rsid w:val="003E0F95"/>
    <w:rsid w:val="003E1D08"/>
    <w:rsid w:val="003E2F2B"/>
    <w:rsid w:val="003E3400"/>
    <w:rsid w:val="003E5052"/>
    <w:rsid w:val="003E5BD4"/>
    <w:rsid w:val="003E6081"/>
    <w:rsid w:val="003E6C1F"/>
    <w:rsid w:val="003E7BC5"/>
    <w:rsid w:val="003F0B13"/>
    <w:rsid w:val="003F0BF7"/>
    <w:rsid w:val="003F0ED3"/>
    <w:rsid w:val="003F1A7F"/>
    <w:rsid w:val="003F2A46"/>
    <w:rsid w:val="003F3BED"/>
    <w:rsid w:val="003F42DF"/>
    <w:rsid w:val="003F4E28"/>
    <w:rsid w:val="003F51E5"/>
    <w:rsid w:val="003F5656"/>
    <w:rsid w:val="003F6B21"/>
    <w:rsid w:val="003F6CC1"/>
    <w:rsid w:val="003F70E9"/>
    <w:rsid w:val="003F71D8"/>
    <w:rsid w:val="003F7BFA"/>
    <w:rsid w:val="00400B00"/>
    <w:rsid w:val="004042A6"/>
    <w:rsid w:val="00405F2E"/>
    <w:rsid w:val="00406F56"/>
    <w:rsid w:val="004075F3"/>
    <w:rsid w:val="00410CC3"/>
    <w:rsid w:val="004114D2"/>
    <w:rsid w:val="004118C0"/>
    <w:rsid w:val="00411A9D"/>
    <w:rsid w:val="00412803"/>
    <w:rsid w:val="00413CAB"/>
    <w:rsid w:val="00415A64"/>
    <w:rsid w:val="004165A9"/>
    <w:rsid w:val="00420D2D"/>
    <w:rsid w:val="0042117A"/>
    <w:rsid w:val="004218BD"/>
    <w:rsid w:val="004222BE"/>
    <w:rsid w:val="004226CD"/>
    <w:rsid w:val="00422785"/>
    <w:rsid w:val="00423244"/>
    <w:rsid w:val="00423BC2"/>
    <w:rsid w:val="00423EE0"/>
    <w:rsid w:val="0042410B"/>
    <w:rsid w:val="004268E2"/>
    <w:rsid w:val="004270DF"/>
    <w:rsid w:val="00427F15"/>
    <w:rsid w:val="00430582"/>
    <w:rsid w:val="004311C4"/>
    <w:rsid w:val="00431CCA"/>
    <w:rsid w:val="00431D77"/>
    <w:rsid w:val="004340F6"/>
    <w:rsid w:val="004348C8"/>
    <w:rsid w:val="00441AE6"/>
    <w:rsid w:val="004423E3"/>
    <w:rsid w:val="00445218"/>
    <w:rsid w:val="004452EB"/>
    <w:rsid w:val="0044610D"/>
    <w:rsid w:val="00446D1B"/>
    <w:rsid w:val="004471FB"/>
    <w:rsid w:val="00451255"/>
    <w:rsid w:val="0045165C"/>
    <w:rsid w:val="00451986"/>
    <w:rsid w:val="004519FC"/>
    <w:rsid w:val="00452544"/>
    <w:rsid w:val="00454EBE"/>
    <w:rsid w:val="00455376"/>
    <w:rsid w:val="00455A73"/>
    <w:rsid w:val="00455F7F"/>
    <w:rsid w:val="0045602D"/>
    <w:rsid w:val="004564DE"/>
    <w:rsid w:val="0045768D"/>
    <w:rsid w:val="00460545"/>
    <w:rsid w:val="004621C0"/>
    <w:rsid w:val="00462BB2"/>
    <w:rsid w:val="00462D7E"/>
    <w:rsid w:val="00467B5F"/>
    <w:rsid w:val="00470505"/>
    <w:rsid w:val="00472764"/>
    <w:rsid w:val="00473782"/>
    <w:rsid w:val="00474014"/>
    <w:rsid w:val="00475AEE"/>
    <w:rsid w:val="00476A5C"/>
    <w:rsid w:val="004824CD"/>
    <w:rsid w:val="00483D70"/>
    <w:rsid w:val="004852E1"/>
    <w:rsid w:val="00485DCE"/>
    <w:rsid w:val="004910D4"/>
    <w:rsid w:val="004913F9"/>
    <w:rsid w:val="0049246E"/>
    <w:rsid w:val="00492CD6"/>
    <w:rsid w:val="00492FAD"/>
    <w:rsid w:val="00493FBD"/>
    <w:rsid w:val="0049472C"/>
    <w:rsid w:val="00494D51"/>
    <w:rsid w:val="00494FB1"/>
    <w:rsid w:val="00496576"/>
    <w:rsid w:val="00496638"/>
    <w:rsid w:val="00497659"/>
    <w:rsid w:val="004A045F"/>
    <w:rsid w:val="004A1DE0"/>
    <w:rsid w:val="004A1DF1"/>
    <w:rsid w:val="004A3DE9"/>
    <w:rsid w:val="004A5C60"/>
    <w:rsid w:val="004A6A3E"/>
    <w:rsid w:val="004A6E89"/>
    <w:rsid w:val="004A7712"/>
    <w:rsid w:val="004B26D4"/>
    <w:rsid w:val="004B378F"/>
    <w:rsid w:val="004B42BF"/>
    <w:rsid w:val="004B4C9C"/>
    <w:rsid w:val="004B5743"/>
    <w:rsid w:val="004B72DB"/>
    <w:rsid w:val="004B7F23"/>
    <w:rsid w:val="004C0A00"/>
    <w:rsid w:val="004C18AA"/>
    <w:rsid w:val="004C2CEA"/>
    <w:rsid w:val="004C4D9B"/>
    <w:rsid w:val="004C5082"/>
    <w:rsid w:val="004C5426"/>
    <w:rsid w:val="004C6BCD"/>
    <w:rsid w:val="004C7903"/>
    <w:rsid w:val="004C7B36"/>
    <w:rsid w:val="004D06D9"/>
    <w:rsid w:val="004D41EE"/>
    <w:rsid w:val="004D6443"/>
    <w:rsid w:val="004D6AAE"/>
    <w:rsid w:val="004D71A2"/>
    <w:rsid w:val="004D7AB2"/>
    <w:rsid w:val="004D7F06"/>
    <w:rsid w:val="004E07DB"/>
    <w:rsid w:val="004E081E"/>
    <w:rsid w:val="004E0A50"/>
    <w:rsid w:val="004E1008"/>
    <w:rsid w:val="004E29D8"/>
    <w:rsid w:val="004E4535"/>
    <w:rsid w:val="004E5413"/>
    <w:rsid w:val="004E6D52"/>
    <w:rsid w:val="004F136D"/>
    <w:rsid w:val="004F2C07"/>
    <w:rsid w:val="004F34F0"/>
    <w:rsid w:val="004F6667"/>
    <w:rsid w:val="004F6711"/>
    <w:rsid w:val="004F77DF"/>
    <w:rsid w:val="0050058A"/>
    <w:rsid w:val="0050199A"/>
    <w:rsid w:val="00501B0E"/>
    <w:rsid w:val="00503AF0"/>
    <w:rsid w:val="00504A63"/>
    <w:rsid w:val="00506539"/>
    <w:rsid w:val="005075FE"/>
    <w:rsid w:val="00507809"/>
    <w:rsid w:val="00510802"/>
    <w:rsid w:val="00510E87"/>
    <w:rsid w:val="005124CE"/>
    <w:rsid w:val="0051346B"/>
    <w:rsid w:val="00514811"/>
    <w:rsid w:val="00515D0F"/>
    <w:rsid w:val="00517087"/>
    <w:rsid w:val="005172A1"/>
    <w:rsid w:val="00522516"/>
    <w:rsid w:val="00530D4F"/>
    <w:rsid w:val="00531223"/>
    <w:rsid w:val="005339C5"/>
    <w:rsid w:val="005402D1"/>
    <w:rsid w:val="00540BB1"/>
    <w:rsid w:val="0054220F"/>
    <w:rsid w:val="00542F8E"/>
    <w:rsid w:val="005438F8"/>
    <w:rsid w:val="005441B6"/>
    <w:rsid w:val="0054516F"/>
    <w:rsid w:val="0054569A"/>
    <w:rsid w:val="00547851"/>
    <w:rsid w:val="0055000D"/>
    <w:rsid w:val="0055037D"/>
    <w:rsid w:val="005509E5"/>
    <w:rsid w:val="00550D64"/>
    <w:rsid w:val="00554155"/>
    <w:rsid w:val="00554AC7"/>
    <w:rsid w:val="00555558"/>
    <w:rsid w:val="0055621D"/>
    <w:rsid w:val="00557044"/>
    <w:rsid w:val="00557EDE"/>
    <w:rsid w:val="00557F1F"/>
    <w:rsid w:val="00562005"/>
    <w:rsid w:val="00563A06"/>
    <w:rsid w:val="00563A5B"/>
    <w:rsid w:val="00563FCF"/>
    <w:rsid w:val="00565248"/>
    <w:rsid w:val="00565E53"/>
    <w:rsid w:val="005663BC"/>
    <w:rsid w:val="00566AA9"/>
    <w:rsid w:val="00566B12"/>
    <w:rsid w:val="005672CA"/>
    <w:rsid w:val="00567AC1"/>
    <w:rsid w:val="00570084"/>
    <w:rsid w:val="00570657"/>
    <w:rsid w:val="0057079C"/>
    <w:rsid w:val="005717BF"/>
    <w:rsid w:val="005734FA"/>
    <w:rsid w:val="00573E6D"/>
    <w:rsid w:val="00573FFB"/>
    <w:rsid w:val="00575A4A"/>
    <w:rsid w:val="00576EFD"/>
    <w:rsid w:val="00576F73"/>
    <w:rsid w:val="00577C63"/>
    <w:rsid w:val="00577C71"/>
    <w:rsid w:val="00577CF1"/>
    <w:rsid w:val="005802B7"/>
    <w:rsid w:val="00580EBD"/>
    <w:rsid w:val="00584653"/>
    <w:rsid w:val="005849C0"/>
    <w:rsid w:val="005856AF"/>
    <w:rsid w:val="005860BF"/>
    <w:rsid w:val="00586BE7"/>
    <w:rsid w:val="00587B54"/>
    <w:rsid w:val="00590C67"/>
    <w:rsid w:val="00591A06"/>
    <w:rsid w:val="00591A6A"/>
    <w:rsid w:val="00591B1F"/>
    <w:rsid w:val="00593782"/>
    <w:rsid w:val="00595766"/>
    <w:rsid w:val="00597768"/>
    <w:rsid w:val="00597C8A"/>
    <w:rsid w:val="005A0F7D"/>
    <w:rsid w:val="005A1797"/>
    <w:rsid w:val="005A217B"/>
    <w:rsid w:val="005A269D"/>
    <w:rsid w:val="005A3543"/>
    <w:rsid w:val="005A6459"/>
    <w:rsid w:val="005A6FBA"/>
    <w:rsid w:val="005B01F6"/>
    <w:rsid w:val="005B040D"/>
    <w:rsid w:val="005B0EE3"/>
    <w:rsid w:val="005B1AA2"/>
    <w:rsid w:val="005B25AF"/>
    <w:rsid w:val="005B273F"/>
    <w:rsid w:val="005B573A"/>
    <w:rsid w:val="005B6742"/>
    <w:rsid w:val="005B6F12"/>
    <w:rsid w:val="005B70BD"/>
    <w:rsid w:val="005B7BC5"/>
    <w:rsid w:val="005C03CA"/>
    <w:rsid w:val="005C05A6"/>
    <w:rsid w:val="005C0C11"/>
    <w:rsid w:val="005C1470"/>
    <w:rsid w:val="005C1B62"/>
    <w:rsid w:val="005C1E45"/>
    <w:rsid w:val="005C2A93"/>
    <w:rsid w:val="005C2FDE"/>
    <w:rsid w:val="005C33C9"/>
    <w:rsid w:val="005C34A2"/>
    <w:rsid w:val="005C3B4C"/>
    <w:rsid w:val="005C53D3"/>
    <w:rsid w:val="005C57B5"/>
    <w:rsid w:val="005C5AFB"/>
    <w:rsid w:val="005C7A38"/>
    <w:rsid w:val="005C7DD8"/>
    <w:rsid w:val="005D0133"/>
    <w:rsid w:val="005D14EF"/>
    <w:rsid w:val="005D2AF6"/>
    <w:rsid w:val="005D4043"/>
    <w:rsid w:val="005D52D9"/>
    <w:rsid w:val="005D6DAE"/>
    <w:rsid w:val="005D710F"/>
    <w:rsid w:val="005E051F"/>
    <w:rsid w:val="005E1910"/>
    <w:rsid w:val="005E2B27"/>
    <w:rsid w:val="005E3C65"/>
    <w:rsid w:val="005E4170"/>
    <w:rsid w:val="005E43B8"/>
    <w:rsid w:val="005E4CBE"/>
    <w:rsid w:val="005E50DE"/>
    <w:rsid w:val="005E6641"/>
    <w:rsid w:val="005E6822"/>
    <w:rsid w:val="005F034F"/>
    <w:rsid w:val="005F102E"/>
    <w:rsid w:val="005F1660"/>
    <w:rsid w:val="005F1CF2"/>
    <w:rsid w:val="005F43AE"/>
    <w:rsid w:val="005F4A82"/>
    <w:rsid w:val="005F4D2D"/>
    <w:rsid w:val="00600A92"/>
    <w:rsid w:val="006033A6"/>
    <w:rsid w:val="00604FF0"/>
    <w:rsid w:val="006066C8"/>
    <w:rsid w:val="00606E35"/>
    <w:rsid w:val="00612FA1"/>
    <w:rsid w:val="0061358F"/>
    <w:rsid w:val="006141E2"/>
    <w:rsid w:val="006144A4"/>
    <w:rsid w:val="00614DCE"/>
    <w:rsid w:val="00614EB7"/>
    <w:rsid w:val="00615774"/>
    <w:rsid w:val="00615E77"/>
    <w:rsid w:val="00621D94"/>
    <w:rsid w:val="00623AAB"/>
    <w:rsid w:val="00624F08"/>
    <w:rsid w:val="006250D1"/>
    <w:rsid w:val="00626CF7"/>
    <w:rsid w:val="00626E91"/>
    <w:rsid w:val="0063020A"/>
    <w:rsid w:val="006305E6"/>
    <w:rsid w:val="0063238A"/>
    <w:rsid w:val="00633397"/>
    <w:rsid w:val="00634810"/>
    <w:rsid w:val="00637AB1"/>
    <w:rsid w:val="00640200"/>
    <w:rsid w:val="006402BC"/>
    <w:rsid w:val="00640D70"/>
    <w:rsid w:val="00641DCE"/>
    <w:rsid w:val="00643A5A"/>
    <w:rsid w:val="0064409D"/>
    <w:rsid w:val="006440FB"/>
    <w:rsid w:val="00644827"/>
    <w:rsid w:val="00645C4B"/>
    <w:rsid w:val="00646947"/>
    <w:rsid w:val="00646A01"/>
    <w:rsid w:val="00647027"/>
    <w:rsid w:val="00647D77"/>
    <w:rsid w:val="00652724"/>
    <w:rsid w:val="00654800"/>
    <w:rsid w:val="00654BB5"/>
    <w:rsid w:val="006558D9"/>
    <w:rsid w:val="006600CC"/>
    <w:rsid w:val="006608F0"/>
    <w:rsid w:val="00661EF6"/>
    <w:rsid w:val="00662FC9"/>
    <w:rsid w:val="0066383F"/>
    <w:rsid w:val="00663BBE"/>
    <w:rsid w:val="00665932"/>
    <w:rsid w:val="00666149"/>
    <w:rsid w:val="00666967"/>
    <w:rsid w:val="006700CD"/>
    <w:rsid w:val="00671A11"/>
    <w:rsid w:val="006747DF"/>
    <w:rsid w:val="00674E8C"/>
    <w:rsid w:val="00675B4E"/>
    <w:rsid w:val="00676E26"/>
    <w:rsid w:val="006805B8"/>
    <w:rsid w:val="006805E4"/>
    <w:rsid w:val="0068188E"/>
    <w:rsid w:val="00681B88"/>
    <w:rsid w:val="0068370B"/>
    <w:rsid w:val="00683964"/>
    <w:rsid w:val="00683D80"/>
    <w:rsid w:val="00685097"/>
    <w:rsid w:val="00685794"/>
    <w:rsid w:val="006871EA"/>
    <w:rsid w:val="006878E4"/>
    <w:rsid w:val="006879D5"/>
    <w:rsid w:val="00687AA8"/>
    <w:rsid w:val="00687BEC"/>
    <w:rsid w:val="00687F51"/>
    <w:rsid w:val="00691F5B"/>
    <w:rsid w:val="006927C2"/>
    <w:rsid w:val="00693D30"/>
    <w:rsid w:val="006974F0"/>
    <w:rsid w:val="006978AE"/>
    <w:rsid w:val="006A298A"/>
    <w:rsid w:val="006A2F94"/>
    <w:rsid w:val="006A36D4"/>
    <w:rsid w:val="006A402E"/>
    <w:rsid w:val="006A4084"/>
    <w:rsid w:val="006A4460"/>
    <w:rsid w:val="006A53C9"/>
    <w:rsid w:val="006A6B60"/>
    <w:rsid w:val="006B02CD"/>
    <w:rsid w:val="006B0D59"/>
    <w:rsid w:val="006B22D8"/>
    <w:rsid w:val="006B3717"/>
    <w:rsid w:val="006B402A"/>
    <w:rsid w:val="006C1204"/>
    <w:rsid w:val="006C226C"/>
    <w:rsid w:val="006C42C0"/>
    <w:rsid w:val="006C576E"/>
    <w:rsid w:val="006C758D"/>
    <w:rsid w:val="006C7FD1"/>
    <w:rsid w:val="006D0153"/>
    <w:rsid w:val="006D1327"/>
    <w:rsid w:val="006D2032"/>
    <w:rsid w:val="006D409C"/>
    <w:rsid w:val="006D4827"/>
    <w:rsid w:val="006D5623"/>
    <w:rsid w:val="006D5882"/>
    <w:rsid w:val="006D66B6"/>
    <w:rsid w:val="006D67AD"/>
    <w:rsid w:val="006D7769"/>
    <w:rsid w:val="006E167F"/>
    <w:rsid w:val="006E299A"/>
    <w:rsid w:val="006E3B0B"/>
    <w:rsid w:val="006E49C9"/>
    <w:rsid w:val="006E5E12"/>
    <w:rsid w:val="006F2FD9"/>
    <w:rsid w:val="006F6048"/>
    <w:rsid w:val="006F68F3"/>
    <w:rsid w:val="006F7259"/>
    <w:rsid w:val="00702041"/>
    <w:rsid w:val="00704397"/>
    <w:rsid w:val="00705A01"/>
    <w:rsid w:val="0070659C"/>
    <w:rsid w:val="0070672F"/>
    <w:rsid w:val="00710160"/>
    <w:rsid w:val="007102E2"/>
    <w:rsid w:val="00710521"/>
    <w:rsid w:val="00710980"/>
    <w:rsid w:val="00712D65"/>
    <w:rsid w:val="00713D32"/>
    <w:rsid w:val="00715243"/>
    <w:rsid w:val="007170C4"/>
    <w:rsid w:val="007222C0"/>
    <w:rsid w:val="00725484"/>
    <w:rsid w:val="00730D63"/>
    <w:rsid w:val="00731F0A"/>
    <w:rsid w:val="00731F4C"/>
    <w:rsid w:val="00731FEB"/>
    <w:rsid w:val="00735201"/>
    <w:rsid w:val="00737CFB"/>
    <w:rsid w:val="007402FA"/>
    <w:rsid w:val="0074112B"/>
    <w:rsid w:val="00741B58"/>
    <w:rsid w:val="007438E8"/>
    <w:rsid w:val="00744A1D"/>
    <w:rsid w:val="0074552D"/>
    <w:rsid w:val="00750F17"/>
    <w:rsid w:val="007549DF"/>
    <w:rsid w:val="007568BB"/>
    <w:rsid w:val="007617BA"/>
    <w:rsid w:val="007624A3"/>
    <w:rsid w:val="00763A14"/>
    <w:rsid w:val="0076589B"/>
    <w:rsid w:val="00766015"/>
    <w:rsid w:val="007660EB"/>
    <w:rsid w:val="00770959"/>
    <w:rsid w:val="00770E13"/>
    <w:rsid w:val="007735B8"/>
    <w:rsid w:val="0077636A"/>
    <w:rsid w:val="00776C52"/>
    <w:rsid w:val="00782200"/>
    <w:rsid w:val="00782526"/>
    <w:rsid w:val="00783AEF"/>
    <w:rsid w:val="007856C9"/>
    <w:rsid w:val="00785747"/>
    <w:rsid w:val="00786151"/>
    <w:rsid w:val="00786D4B"/>
    <w:rsid w:val="007876B0"/>
    <w:rsid w:val="00787E8E"/>
    <w:rsid w:val="00790329"/>
    <w:rsid w:val="00791B4B"/>
    <w:rsid w:val="00792BAC"/>
    <w:rsid w:val="0079505A"/>
    <w:rsid w:val="00795A30"/>
    <w:rsid w:val="007A1632"/>
    <w:rsid w:val="007A1799"/>
    <w:rsid w:val="007A1C32"/>
    <w:rsid w:val="007A2F8B"/>
    <w:rsid w:val="007A3740"/>
    <w:rsid w:val="007A503A"/>
    <w:rsid w:val="007A5E1C"/>
    <w:rsid w:val="007A68DE"/>
    <w:rsid w:val="007A7E51"/>
    <w:rsid w:val="007B22BF"/>
    <w:rsid w:val="007B262B"/>
    <w:rsid w:val="007B2BDE"/>
    <w:rsid w:val="007B2BE6"/>
    <w:rsid w:val="007B583E"/>
    <w:rsid w:val="007B7507"/>
    <w:rsid w:val="007C0695"/>
    <w:rsid w:val="007C361E"/>
    <w:rsid w:val="007C60E1"/>
    <w:rsid w:val="007D1351"/>
    <w:rsid w:val="007D2335"/>
    <w:rsid w:val="007D2620"/>
    <w:rsid w:val="007D2D2A"/>
    <w:rsid w:val="007D30B1"/>
    <w:rsid w:val="007D39F8"/>
    <w:rsid w:val="007D4563"/>
    <w:rsid w:val="007D464A"/>
    <w:rsid w:val="007D5AF3"/>
    <w:rsid w:val="007E1683"/>
    <w:rsid w:val="007E25A3"/>
    <w:rsid w:val="007E270F"/>
    <w:rsid w:val="007E3256"/>
    <w:rsid w:val="007E32D6"/>
    <w:rsid w:val="007E3BC9"/>
    <w:rsid w:val="007E3F77"/>
    <w:rsid w:val="007E5857"/>
    <w:rsid w:val="007E7D32"/>
    <w:rsid w:val="007F089D"/>
    <w:rsid w:val="007F0AB4"/>
    <w:rsid w:val="007F0B57"/>
    <w:rsid w:val="007F17FC"/>
    <w:rsid w:val="007F1D8D"/>
    <w:rsid w:val="007F1DC0"/>
    <w:rsid w:val="007F25A8"/>
    <w:rsid w:val="007F3EF0"/>
    <w:rsid w:val="00801084"/>
    <w:rsid w:val="0080135F"/>
    <w:rsid w:val="00803A14"/>
    <w:rsid w:val="00803F71"/>
    <w:rsid w:val="008068F1"/>
    <w:rsid w:val="0080691F"/>
    <w:rsid w:val="00807C66"/>
    <w:rsid w:val="0081077A"/>
    <w:rsid w:val="00810791"/>
    <w:rsid w:val="00810F2D"/>
    <w:rsid w:val="00811248"/>
    <w:rsid w:val="008112F1"/>
    <w:rsid w:val="00811A99"/>
    <w:rsid w:val="00812AA4"/>
    <w:rsid w:val="008135DB"/>
    <w:rsid w:val="0081546E"/>
    <w:rsid w:val="00815E83"/>
    <w:rsid w:val="00817598"/>
    <w:rsid w:val="00820118"/>
    <w:rsid w:val="00820A43"/>
    <w:rsid w:val="008212BD"/>
    <w:rsid w:val="0082277A"/>
    <w:rsid w:val="00823DD6"/>
    <w:rsid w:val="00825245"/>
    <w:rsid w:val="00827008"/>
    <w:rsid w:val="00827C93"/>
    <w:rsid w:val="008301CA"/>
    <w:rsid w:val="008302B9"/>
    <w:rsid w:val="008305FB"/>
    <w:rsid w:val="008318C5"/>
    <w:rsid w:val="00831F46"/>
    <w:rsid w:val="00832678"/>
    <w:rsid w:val="008331A9"/>
    <w:rsid w:val="00835B38"/>
    <w:rsid w:val="00836BBE"/>
    <w:rsid w:val="00837572"/>
    <w:rsid w:val="008407C6"/>
    <w:rsid w:val="00840FD1"/>
    <w:rsid w:val="00841003"/>
    <w:rsid w:val="00842B3A"/>
    <w:rsid w:val="00844D9D"/>
    <w:rsid w:val="008453B3"/>
    <w:rsid w:val="00845F55"/>
    <w:rsid w:val="00846880"/>
    <w:rsid w:val="0085209C"/>
    <w:rsid w:val="008529B7"/>
    <w:rsid w:val="008533F7"/>
    <w:rsid w:val="00856187"/>
    <w:rsid w:val="00857974"/>
    <w:rsid w:val="0086049B"/>
    <w:rsid w:val="00861644"/>
    <w:rsid w:val="0086164A"/>
    <w:rsid w:val="00862990"/>
    <w:rsid w:val="00862E3F"/>
    <w:rsid w:val="008645AB"/>
    <w:rsid w:val="008645D6"/>
    <w:rsid w:val="008668F0"/>
    <w:rsid w:val="00866911"/>
    <w:rsid w:val="00870AC9"/>
    <w:rsid w:val="00871F9D"/>
    <w:rsid w:val="00873D3A"/>
    <w:rsid w:val="00875416"/>
    <w:rsid w:val="008842CB"/>
    <w:rsid w:val="0088733A"/>
    <w:rsid w:val="008879BC"/>
    <w:rsid w:val="00890B60"/>
    <w:rsid w:val="0089360C"/>
    <w:rsid w:val="00893A94"/>
    <w:rsid w:val="0089630D"/>
    <w:rsid w:val="008A25F0"/>
    <w:rsid w:val="008A2647"/>
    <w:rsid w:val="008A2E9E"/>
    <w:rsid w:val="008A41BA"/>
    <w:rsid w:val="008A4D7F"/>
    <w:rsid w:val="008A5249"/>
    <w:rsid w:val="008A61B2"/>
    <w:rsid w:val="008A75FA"/>
    <w:rsid w:val="008A7BFD"/>
    <w:rsid w:val="008B1762"/>
    <w:rsid w:val="008B287C"/>
    <w:rsid w:val="008B36E5"/>
    <w:rsid w:val="008B7048"/>
    <w:rsid w:val="008C0010"/>
    <w:rsid w:val="008C453A"/>
    <w:rsid w:val="008C47FA"/>
    <w:rsid w:val="008C4B41"/>
    <w:rsid w:val="008C60E6"/>
    <w:rsid w:val="008D0072"/>
    <w:rsid w:val="008D17A8"/>
    <w:rsid w:val="008D2419"/>
    <w:rsid w:val="008D347B"/>
    <w:rsid w:val="008D3716"/>
    <w:rsid w:val="008D5692"/>
    <w:rsid w:val="008D5774"/>
    <w:rsid w:val="008D60EC"/>
    <w:rsid w:val="008D640A"/>
    <w:rsid w:val="008E1B66"/>
    <w:rsid w:val="008E1C8D"/>
    <w:rsid w:val="008E28DA"/>
    <w:rsid w:val="008E6AAD"/>
    <w:rsid w:val="008E72B4"/>
    <w:rsid w:val="008E7F2E"/>
    <w:rsid w:val="008F09FF"/>
    <w:rsid w:val="008F4672"/>
    <w:rsid w:val="008F5359"/>
    <w:rsid w:val="008F602E"/>
    <w:rsid w:val="008F71FB"/>
    <w:rsid w:val="00903406"/>
    <w:rsid w:val="009056F2"/>
    <w:rsid w:val="00905B05"/>
    <w:rsid w:val="00906612"/>
    <w:rsid w:val="0091051C"/>
    <w:rsid w:val="00914425"/>
    <w:rsid w:val="0091573C"/>
    <w:rsid w:val="009158A3"/>
    <w:rsid w:val="009166A8"/>
    <w:rsid w:val="00922631"/>
    <w:rsid w:val="00922BC5"/>
    <w:rsid w:val="00922E70"/>
    <w:rsid w:val="00923DE4"/>
    <w:rsid w:val="009241F3"/>
    <w:rsid w:val="009243D1"/>
    <w:rsid w:val="009254C8"/>
    <w:rsid w:val="00925588"/>
    <w:rsid w:val="00926985"/>
    <w:rsid w:val="009277AB"/>
    <w:rsid w:val="00927F73"/>
    <w:rsid w:val="009306BE"/>
    <w:rsid w:val="00930D43"/>
    <w:rsid w:val="00931CF4"/>
    <w:rsid w:val="00932BDC"/>
    <w:rsid w:val="00933D6E"/>
    <w:rsid w:val="00934740"/>
    <w:rsid w:val="00936106"/>
    <w:rsid w:val="00937AD8"/>
    <w:rsid w:val="00942F87"/>
    <w:rsid w:val="009432BE"/>
    <w:rsid w:val="009447B4"/>
    <w:rsid w:val="0094584B"/>
    <w:rsid w:val="009478AD"/>
    <w:rsid w:val="00950169"/>
    <w:rsid w:val="00950CA4"/>
    <w:rsid w:val="00951115"/>
    <w:rsid w:val="009519CD"/>
    <w:rsid w:val="009543C6"/>
    <w:rsid w:val="009551B0"/>
    <w:rsid w:val="009569B5"/>
    <w:rsid w:val="00957415"/>
    <w:rsid w:val="00957694"/>
    <w:rsid w:val="0095787A"/>
    <w:rsid w:val="009614DE"/>
    <w:rsid w:val="00961919"/>
    <w:rsid w:val="0096237A"/>
    <w:rsid w:val="009640F4"/>
    <w:rsid w:val="009664F0"/>
    <w:rsid w:val="00970B2A"/>
    <w:rsid w:val="00971423"/>
    <w:rsid w:val="009727BB"/>
    <w:rsid w:val="00972AC8"/>
    <w:rsid w:val="009746B8"/>
    <w:rsid w:val="00980781"/>
    <w:rsid w:val="00981811"/>
    <w:rsid w:val="009820DA"/>
    <w:rsid w:val="009829FA"/>
    <w:rsid w:val="00985DB2"/>
    <w:rsid w:val="009865F6"/>
    <w:rsid w:val="009879CE"/>
    <w:rsid w:val="00990DA2"/>
    <w:rsid w:val="00992A1E"/>
    <w:rsid w:val="00993E30"/>
    <w:rsid w:val="00993F10"/>
    <w:rsid w:val="009941D6"/>
    <w:rsid w:val="00994A55"/>
    <w:rsid w:val="00995999"/>
    <w:rsid w:val="00996637"/>
    <w:rsid w:val="009A00D1"/>
    <w:rsid w:val="009A28DF"/>
    <w:rsid w:val="009A2C5A"/>
    <w:rsid w:val="009A3E51"/>
    <w:rsid w:val="009A46E2"/>
    <w:rsid w:val="009A59B1"/>
    <w:rsid w:val="009A632A"/>
    <w:rsid w:val="009B02F9"/>
    <w:rsid w:val="009B0BF9"/>
    <w:rsid w:val="009B0DB9"/>
    <w:rsid w:val="009B1FDF"/>
    <w:rsid w:val="009B2ABE"/>
    <w:rsid w:val="009B3AEB"/>
    <w:rsid w:val="009B3B7A"/>
    <w:rsid w:val="009B43EC"/>
    <w:rsid w:val="009B63E1"/>
    <w:rsid w:val="009B65DC"/>
    <w:rsid w:val="009C244C"/>
    <w:rsid w:val="009C4C29"/>
    <w:rsid w:val="009C6061"/>
    <w:rsid w:val="009C6443"/>
    <w:rsid w:val="009D087D"/>
    <w:rsid w:val="009D1B54"/>
    <w:rsid w:val="009D2C32"/>
    <w:rsid w:val="009D5B7E"/>
    <w:rsid w:val="009D61EF"/>
    <w:rsid w:val="009E320F"/>
    <w:rsid w:val="009E3382"/>
    <w:rsid w:val="009E422D"/>
    <w:rsid w:val="009E6A26"/>
    <w:rsid w:val="009E76DD"/>
    <w:rsid w:val="009F12BC"/>
    <w:rsid w:val="009F15FD"/>
    <w:rsid w:val="009F18B2"/>
    <w:rsid w:val="009F224B"/>
    <w:rsid w:val="009F283A"/>
    <w:rsid w:val="009F40CD"/>
    <w:rsid w:val="009F4501"/>
    <w:rsid w:val="009F7132"/>
    <w:rsid w:val="009F767B"/>
    <w:rsid w:val="009F76AF"/>
    <w:rsid w:val="009F7D87"/>
    <w:rsid w:val="00A00EE6"/>
    <w:rsid w:val="00A01683"/>
    <w:rsid w:val="00A0214E"/>
    <w:rsid w:val="00A03E16"/>
    <w:rsid w:val="00A05211"/>
    <w:rsid w:val="00A059CA"/>
    <w:rsid w:val="00A1128A"/>
    <w:rsid w:val="00A11A6C"/>
    <w:rsid w:val="00A11CA4"/>
    <w:rsid w:val="00A121C1"/>
    <w:rsid w:val="00A12D71"/>
    <w:rsid w:val="00A131F3"/>
    <w:rsid w:val="00A13A43"/>
    <w:rsid w:val="00A14692"/>
    <w:rsid w:val="00A14D7F"/>
    <w:rsid w:val="00A15239"/>
    <w:rsid w:val="00A167D7"/>
    <w:rsid w:val="00A16D18"/>
    <w:rsid w:val="00A16E74"/>
    <w:rsid w:val="00A17C54"/>
    <w:rsid w:val="00A204A6"/>
    <w:rsid w:val="00A2053F"/>
    <w:rsid w:val="00A20D54"/>
    <w:rsid w:val="00A20EFD"/>
    <w:rsid w:val="00A2123D"/>
    <w:rsid w:val="00A21461"/>
    <w:rsid w:val="00A21697"/>
    <w:rsid w:val="00A2197F"/>
    <w:rsid w:val="00A2362F"/>
    <w:rsid w:val="00A26555"/>
    <w:rsid w:val="00A26A0D"/>
    <w:rsid w:val="00A275C9"/>
    <w:rsid w:val="00A30061"/>
    <w:rsid w:val="00A3180C"/>
    <w:rsid w:val="00A32163"/>
    <w:rsid w:val="00A335C7"/>
    <w:rsid w:val="00A33FF2"/>
    <w:rsid w:val="00A34E16"/>
    <w:rsid w:val="00A3567B"/>
    <w:rsid w:val="00A360BF"/>
    <w:rsid w:val="00A36A67"/>
    <w:rsid w:val="00A4022F"/>
    <w:rsid w:val="00A406D5"/>
    <w:rsid w:val="00A407BE"/>
    <w:rsid w:val="00A409BA"/>
    <w:rsid w:val="00A41FBF"/>
    <w:rsid w:val="00A422AB"/>
    <w:rsid w:val="00A4270A"/>
    <w:rsid w:val="00A46281"/>
    <w:rsid w:val="00A46B90"/>
    <w:rsid w:val="00A539EE"/>
    <w:rsid w:val="00A55476"/>
    <w:rsid w:val="00A57530"/>
    <w:rsid w:val="00A60156"/>
    <w:rsid w:val="00A6130C"/>
    <w:rsid w:val="00A619CB"/>
    <w:rsid w:val="00A61A02"/>
    <w:rsid w:val="00A631A0"/>
    <w:rsid w:val="00A638BF"/>
    <w:rsid w:val="00A65B61"/>
    <w:rsid w:val="00A661E6"/>
    <w:rsid w:val="00A71106"/>
    <w:rsid w:val="00A72C2C"/>
    <w:rsid w:val="00A73BE8"/>
    <w:rsid w:val="00A75214"/>
    <w:rsid w:val="00A752B0"/>
    <w:rsid w:val="00A75933"/>
    <w:rsid w:val="00A77226"/>
    <w:rsid w:val="00A77B88"/>
    <w:rsid w:val="00A82D07"/>
    <w:rsid w:val="00A83A8E"/>
    <w:rsid w:val="00A83B18"/>
    <w:rsid w:val="00A83C41"/>
    <w:rsid w:val="00A84322"/>
    <w:rsid w:val="00A85F1A"/>
    <w:rsid w:val="00A860C9"/>
    <w:rsid w:val="00A86619"/>
    <w:rsid w:val="00A87610"/>
    <w:rsid w:val="00A90049"/>
    <w:rsid w:val="00A92AA2"/>
    <w:rsid w:val="00A95CBD"/>
    <w:rsid w:val="00A96EE8"/>
    <w:rsid w:val="00A97996"/>
    <w:rsid w:val="00A97E12"/>
    <w:rsid w:val="00AA3927"/>
    <w:rsid w:val="00AA3A93"/>
    <w:rsid w:val="00AA3FF5"/>
    <w:rsid w:val="00AA489A"/>
    <w:rsid w:val="00AA5264"/>
    <w:rsid w:val="00AA5973"/>
    <w:rsid w:val="00AA6653"/>
    <w:rsid w:val="00AA7816"/>
    <w:rsid w:val="00AA7A96"/>
    <w:rsid w:val="00AB0380"/>
    <w:rsid w:val="00AB3526"/>
    <w:rsid w:val="00AB5ED0"/>
    <w:rsid w:val="00AC1208"/>
    <w:rsid w:val="00AC1ACE"/>
    <w:rsid w:val="00AC289D"/>
    <w:rsid w:val="00AC5D21"/>
    <w:rsid w:val="00AC5E6F"/>
    <w:rsid w:val="00AC6090"/>
    <w:rsid w:val="00AC716E"/>
    <w:rsid w:val="00AD0D8D"/>
    <w:rsid w:val="00AD170F"/>
    <w:rsid w:val="00AD1EE2"/>
    <w:rsid w:val="00AD2DFF"/>
    <w:rsid w:val="00AD3AB1"/>
    <w:rsid w:val="00AD41B4"/>
    <w:rsid w:val="00AE008D"/>
    <w:rsid w:val="00AE1B0D"/>
    <w:rsid w:val="00AE23AC"/>
    <w:rsid w:val="00AE27DB"/>
    <w:rsid w:val="00AE27E1"/>
    <w:rsid w:val="00AE3CAB"/>
    <w:rsid w:val="00AE3CE0"/>
    <w:rsid w:val="00AE475E"/>
    <w:rsid w:val="00AE4992"/>
    <w:rsid w:val="00AE5E5B"/>
    <w:rsid w:val="00AE6189"/>
    <w:rsid w:val="00AE733F"/>
    <w:rsid w:val="00AE765A"/>
    <w:rsid w:val="00AF1F7D"/>
    <w:rsid w:val="00AF3BC8"/>
    <w:rsid w:val="00AF584B"/>
    <w:rsid w:val="00AF6158"/>
    <w:rsid w:val="00AF688E"/>
    <w:rsid w:val="00B00270"/>
    <w:rsid w:val="00B00579"/>
    <w:rsid w:val="00B01C9E"/>
    <w:rsid w:val="00B0216C"/>
    <w:rsid w:val="00B02AF1"/>
    <w:rsid w:val="00B0772E"/>
    <w:rsid w:val="00B1040E"/>
    <w:rsid w:val="00B10976"/>
    <w:rsid w:val="00B127BD"/>
    <w:rsid w:val="00B13D46"/>
    <w:rsid w:val="00B1573B"/>
    <w:rsid w:val="00B202FE"/>
    <w:rsid w:val="00B20373"/>
    <w:rsid w:val="00B2362C"/>
    <w:rsid w:val="00B24636"/>
    <w:rsid w:val="00B306E7"/>
    <w:rsid w:val="00B3115C"/>
    <w:rsid w:val="00B314B0"/>
    <w:rsid w:val="00B33B21"/>
    <w:rsid w:val="00B34F39"/>
    <w:rsid w:val="00B3593E"/>
    <w:rsid w:val="00B35C74"/>
    <w:rsid w:val="00B36A6E"/>
    <w:rsid w:val="00B4198B"/>
    <w:rsid w:val="00B44239"/>
    <w:rsid w:val="00B4580D"/>
    <w:rsid w:val="00B51B99"/>
    <w:rsid w:val="00B53716"/>
    <w:rsid w:val="00B54205"/>
    <w:rsid w:val="00B558CA"/>
    <w:rsid w:val="00B56895"/>
    <w:rsid w:val="00B56CC6"/>
    <w:rsid w:val="00B60C7F"/>
    <w:rsid w:val="00B61812"/>
    <w:rsid w:val="00B61D17"/>
    <w:rsid w:val="00B63E76"/>
    <w:rsid w:val="00B64B1A"/>
    <w:rsid w:val="00B6559F"/>
    <w:rsid w:val="00B65E54"/>
    <w:rsid w:val="00B66096"/>
    <w:rsid w:val="00B7237D"/>
    <w:rsid w:val="00B73B3C"/>
    <w:rsid w:val="00B76A73"/>
    <w:rsid w:val="00B832D4"/>
    <w:rsid w:val="00B83CCE"/>
    <w:rsid w:val="00B863CC"/>
    <w:rsid w:val="00B9061D"/>
    <w:rsid w:val="00B9151B"/>
    <w:rsid w:val="00B92318"/>
    <w:rsid w:val="00B925CE"/>
    <w:rsid w:val="00B95398"/>
    <w:rsid w:val="00B953F6"/>
    <w:rsid w:val="00BA66CD"/>
    <w:rsid w:val="00BA7DB0"/>
    <w:rsid w:val="00BB0B26"/>
    <w:rsid w:val="00BB2369"/>
    <w:rsid w:val="00BB2D7A"/>
    <w:rsid w:val="00BB3595"/>
    <w:rsid w:val="00BB446C"/>
    <w:rsid w:val="00BB4605"/>
    <w:rsid w:val="00BB5BDE"/>
    <w:rsid w:val="00BB7FD3"/>
    <w:rsid w:val="00BC05FA"/>
    <w:rsid w:val="00BC0937"/>
    <w:rsid w:val="00BC14FD"/>
    <w:rsid w:val="00BC3086"/>
    <w:rsid w:val="00BC37BD"/>
    <w:rsid w:val="00BC5095"/>
    <w:rsid w:val="00BC5344"/>
    <w:rsid w:val="00BC60F0"/>
    <w:rsid w:val="00BC7584"/>
    <w:rsid w:val="00BD4290"/>
    <w:rsid w:val="00BD44F4"/>
    <w:rsid w:val="00BD65B3"/>
    <w:rsid w:val="00BD7B7D"/>
    <w:rsid w:val="00BE2C45"/>
    <w:rsid w:val="00BE4833"/>
    <w:rsid w:val="00BE5121"/>
    <w:rsid w:val="00BE5B22"/>
    <w:rsid w:val="00BE5BE8"/>
    <w:rsid w:val="00BE68E4"/>
    <w:rsid w:val="00BE710B"/>
    <w:rsid w:val="00BE7295"/>
    <w:rsid w:val="00BE7E4E"/>
    <w:rsid w:val="00BF0B29"/>
    <w:rsid w:val="00BF53FF"/>
    <w:rsid w:val="00BF5F94"/>
    <w:rsid w:val="00BF682B"/>
    <w:rsid w:val="00BF7E5C"/>
    <w:rsid w:val="00C01810"/>
    <w:rsid w:val="00C034B5"/>
    <w:rsid w:val="00C06943"/>
    <w:rsid w:val="00C07F73"/>
    <w:rsid w:val="00C10348"/>
    <w:rsid w:val="00C14626"/>
    <w:rsid w:val="00C17AC9"/>
    <w:rsid w:val="00C21283"/>
    <w:rsid w:val="00C22CC4"/>
    <w:rsid w:val="00C23D9E"/>
    <w:rsid w:val="00C306CD"/>
    <w:rsid w:val="00C30BE2"/>
    <w:rsid w:val="00C31B0A"/>
    <w:rsid w:val="00C32F86"/>
    <w:rsid w:val="00C35AD7"/>
    <w:rsid w:val="00C36C69"/>
    <w:rsid w:val="00C4008A"/>
    <w:rsid w:val="00C41133"/>
    <w:rsid w:val="00C42F1B"/>
    <w:rsid w:val="00C43353"/>
    <w:rsid w:val="00C436B5"/>
    <w:rsid w:val="00C438F6"/>
    <w:rsid w:val="00C4422D"/>
    <w:rsid w:val="00C450AD"/>
    <w:rsid w:val="00C4677D"/>
    <w:rsid w:val="00C46B3B"/>
    <w:rsid w:val="00C47177"/>
    <w:rsid w:val="00C47EDB"/>
    <w:rsid w:val="00C50D89"/>
    <w:rsid w:val="00C50F4F"/>
    <w:rsid w:val="00C51BE1"/>
    <w:rsid w:val="00C5505D"/>
    <w:rsid w:val="00C567AE"/>
    <w:rsid w:val="00C62602"/>
    <w:rsid w:val="00C631B5"/>
    <w:rsid w:val="00C6336D"/>
    <w:rsid w:val="00C64682"/>
    <w:rsid w:val="00C6516C"/>
    <w:rsid w:val="00C66BCF"/>
    <w:rsid w:val="00C67B8E"/>
    <w:rsid w:val="00C72759"/>
    <w:rsid w:val="00C72937"/>
    <w:rsid w:val="00C741D2"/>
    <w:rsid w:val="00C75873"/>
    <w:rsid w:val="00C765D7"/>
    <w:rsid w:val="00C77583"/>
    <w:rsid w:val="00C77B66"/>
    <w:rsid w:val="00C823ED"/>
    <w:rsid w:val="00C85796"/>
    <w:rsid w:val="00C86732"/>
    <w:rsid w:val="00C86C73"/>
    <w:rsid w:val="00C872EA"/>
    <w:rsid w:val="00C87D62"/>
    <w:rsid w:val="00C936CF"/>
    <w:rsid w:val="00C95DD0"/>
    <w:rsid w:val="00C960D1"/>
    <w:rsid w:val="00C96693"/>
    <w:rsid w:val="00C976D8"/>
    <w:rsid w:val="00C97EB4"/>
    <w:rsid w:val="00CA05F0"/>
    <w:rsid w:val="00CA07BC"/>
    <w:rsid w:val="00CA09FC"/>
    <w:rsid w:val="00CA0C2D"/>
    <w:rsid w:val="00CA1604"/>
    <w:rsid w:val="00CA3B1D"/>
    <w:rsid w:val="00CA5B05"/>
    <w:rsid w:val="00CB12A5"/>
    <w:rsid w:val="00CB1C19"/>
    <w:rsid w:val="00CB3FDF"/>
    <w:rsid w:val="00CB4822"/>
    <w:rsid w:val="00CB5069"/>
    <w:rsid w:val="00CB6098"/>
    <w:rsid w:val="00CC34BE"/>
    <w:rsid w:val="00CC3BA8"/>
    <w:rsid w:val="00CC3DD7"/>
    <w:rsid w:val="00CC427A"/>
    <w:rsid w:val="00CC470E"/>
    <w:rsid w:val="00CC5983"/>
    <w:rsid w:val="00CC651A"/>
    <w:rsid w:val="00CC7BB7"/>
    <w:rsid w:val="00CD0332"/>
    <w:rsid w:val="00CD0E58"/>
    <w:rsid w:val="00CD414F"/>
    <w:rsid w:val="00CD4B32"/>
    <w:rsid w:val="00CD5E09"/>
    <w:rsid w:val="00CD648D"/>
    <w:rsid w:val="00CD785D"/>
    <w:rsid w:val="00CE1769"/>
    <w:rsid w:val="00CE2DE3"/>
    <w:rsid w:val="00CE3D9D"/>
    <w:rsid w:val="00CE42E3"/>
    <w:rsid w:val="00CE55BE"/>
    <w:rsid w:val="00CE6532"/>
    <w:rsid w:val="00CE7E31"/>
    <w:rsid w:val="00CF18EF"/>
    <w:rsid w:val="00CF2ADD"/>
    <w:rsid w:val="00CF41C1"/>
    <w:rsid w:val="00CF48C2"/>
    <w:rsid w:val="00CF4947"/>
    <w:rsid w:val="00CF4D80"/>
    <w:rsid w:val="00CF5E36"/>
    <w:rsid w:val="00CF63EC"/>
    <w:rsid w:val="00CF7733"/>
    <w:rsid w:val="00CF7B55"/>
    <w:rsid w:val="00D03B40"/>
    <w:rsid w:val="00D05217"/>
    <w:rsid w:val="00D06104"/>
    <w:rsid w:val="00D100E8"/>
    <w:rsid w:val="00D1044C"/>
    <w:rsid w:val="00D1081F"/>
    <w:rsid w:val="00D11599"/>
    <w:rsid w:val="00D11EBE"/>
    <w:rsid w:val="00D13281"/>
    <w:rsid w:val="00D13546"/>
    <w:rsid w:val="00D16195"/>
    <w:rsid w:val="00D20BDE"/>
    <w:rsid w:val="00D21454"/>
    <w:rsid w:val="00D2417E"/>
    <w:rsid w:val="00D24EE4"/>
    <w:rsid w:val="00D2505A"/>
    <w:rsid w:val="00D31E64"/>
    <w:rsid w:val="00D31F70"/>
    <w:rsid w:val="00D3376B"/>
    <w:rsid w:val="00D34C37"/>
    <w:rsid w:val="00D360F0"/>
    <w:rsid w:val="00D365B7"/>
    <w:rsid w:val="00D36DEA"/>
    <w:rsid w:val="00D40CAB"/>
    <w:rsid w:val="00D4447E"/>
    <w:rsid w:val="00D444E2"/>
    <w:rsid w:val="00D445B9"/>
    <w:rsid w:val="00D44B35"/>
    <w:rsid w:val="00D44C64"/>
    <w:rsid w:val="00D450C3"/>
    <w:rsid w:val="00D45A80"/>
    <w:rsid w:val="00D47D85"/>
    <w:rsid w:val="00D510BB"/>
    <w:rsid w:val="00D5144A"/>
    <w:rsid w:val="00D53D1A"/>
    <w:rsid w:val="00D5575B"/>
    <w:rsid w:val="00D57D0D"/>
    <w:rsid w:val="00D61BCF"/>
    <w:rsid w:val="00D62192"/>
    <w:rsid w:val="00D63DBD"/>
    <w:rsid w:val="00D63F6A"/>
    <w:rsid w:val="00D649F7"/>
    <w:rsid w:val="00D64D9B"/>
    <w:rsid w:val="00D6660D"/>
    <w:rsid w:val="00D7063A"/>
    <w:rsid w:val="00D71B2C"/>
    <w:rsid w:val="00D73A3E"/>
    <w:rsid w:val="00D74368"/>
    <w:rsid w:val="00D764E0"/>
    <w:rsid w:val="00D76691"/>
    <w:rsid w:val="00D779A2"/>
    <w:rsid w:val="00D80040"/>
    <w:rsid w:val="00D80B84"/>
    <w:rsid w:val="00D8223D"/>
    <w:rsid w:val="00D822DA"/>
    <w:rsid w:val="00D838E6"/>
    <w:rsid w:val="00D83B35"/>
    <w:rsid w:val="00D8591F"/>
    <w:rsid w:val="00D85B05"/>
    <w:rsid w:val="00D8663C"/>
    <w:rsid w:val="00D87574"/>
    <w:rsid w:val="00D90713"/>
    <w:rsid w:val="00D90D60"/>
    <w:rsid w:val="00D91F07"/>
    <w:rsid w:val="00D9447B"/>
    <w:rsid w:val="00D951DA"/>
    <w:rsid w:val="00D9661F"/>
    <w:rsid w:val="00D969DA"/>
    <w:rsid w:val="00D96BFF"/>
    <w:rsid w:val="00D97A60"/>
    <w:rsid w:val="00DA441D"/>
    <w:rsid w:val="00DA49C2"/>
    <w:rsid w:val="00DA7006"/>
    <w:rsid w:val="00DA7333"/>
    <w:rsid w:val="00DB04A0"/>
    <w:rsid w:val="00DB0B81"/>
    <w:rsid w:val="00DB1047"/>
    <w:rsid w:val="00DB22CB"/>
    <w:rsid w:val="00DB2A2D"/>
    <w:rsid w:val="00DB349C"/>
    <w:rsid w:val="00DB3D5E"/>
    <w:rsid w:val="00DB456F"/>
    <w:rsid w:val="00DB4F70"/>
    <w:rsid w:val="00DB52B7"/>
    <w:rsid w:val="00DB5426"/>
    <w:rsid w:val="00DB56EA"/>
    <w:rsid w:val="00DC0A7D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C7F5B"/>
    <w:rsid w:val="00DD2318"/>
    <w:rsid w:val="00DD2C5E"/>
    <w:rsid w:val="00DD36C4"/>
    <w:rsid w:val="00DD3A78"/>
    <w:rsid w:val="00DD4BAC"/>
    <w:rsid w:val="00DD5161"/>
    <w:rsid w:val="00DD635B"/>
    <w:rsid w:val="00DD780F"/>
    <w:rsid w:val="00DD7E7F"/>
    <w:rsid w:val="00DE011F"/>
    <w:rsid w:val="00DE0907"/>
    <w:rsid w:val="00DE097F"/>
    <w:rsid w:val="00DE0D93"/>
    <w:rsid w:val="00DE31BB"/>
    <w:rsid w:val="00DE4291"/>
    <w:rsid w:val="00DE5263"/>
    <w:rsid w:val="00DE678F"/>
    <w:rsid w:val="00DE6C8F"/>
    <w:rsid w:val="00DF021A"/>
    <w:rsid w:val="00DF0695"/>
    <w:rsid w:val="00DF1CED"/>
    <w:rsid w:val="00DF21D0"/>
    <w:rsid w:val="00DF29D2"/>
    <w:rsid w:val="00DF2E06"/>
    <w:rsid w:val="00DF3005"/>
    <w:rsid w:val="00DF4486"/>
    <w:rsid w:val="00DF4AE4"/>
    <w:rsid w:val="00DF4BEE"/>
    <w:rsid w:val="00DF4C55"/>
    <w:rsid w:val="00DF74CF"/>
    <w:rsid w:val="00E000ED"/>
    <w:rsid w:val="00E00EF6"/>
    <w:rsid w:val="00E054F6"/>
    <w:rsid w:val="00E0749B"/>
    <w:rsid w:val="00E1144B"/>
    <w:rsid w:val="00E12528"/>
    <w:rsid w:val="00E13333"/>
    <w:rsid w:val="00E14CD5"/>
    <w:rsid w:val="00E15CAD"/>
    <w:rsid w:val="00E16E56"/>
    <w:rsid w:val="00E218C0"/>
    <w:rsid w:val="00E22162"/>
    <w:rsid w:val="00E22311"/>
    <w:rsid w:val="00E23A49"/>
    <w:rsid w:val="00E2507A"/>
    <w:rsid w:val="00E25A44"/>
    <w:rsid w:val="00E265C5"/>
    <w:rsid w:val="00E26D16"/>
    <w:rsid w:val="00E26D2B"/>
    <w:rsid w:val="00E272FC"/>
    <w:rsid w:val="00E27545"/>
    <w:rsid w:val="00E27625"/>
    <w:rsid w:val="00E27F35"/>
    <w:rsid w:val="00E307A6"/>
    <w:rsid w:val="00E33BF8"/>
    <w:rsid w:val="00E35193"/>
    <w:rsid w:val="00E36919"/>
    <w:rsid w:val="00E36FF6"/>
    <w:rsid w:val="00E4019E"/>
    <w:rsid w:val="00E41A19"/>
    <w:rsid w:val="00E4722A"/>
    <w:rsid w:val="00E47407"/>
    <w:rsid w:val="00E5060D"/>
    <w:rsid w:val="00E51698"/>
    <w:rsid w:val="00E53E0F"/>
    <w:rsid w:val="00E549E7"/>
    <w:rsid w:val="00E576C1"/>
    <w:rsid w:val="00E62D74"/>
    <w:rsid w:val="00E656DC"/>
    <w:rsid w:val="00E6719A"/>
    <w:rsid w:val="00E6758A"/>
    <w:rsid w:val="00E67EFF"/>
    <w:rsid w:val="00E722E0"/>
    <w:rsid w:val="00E7294E"/>
    <w:rsid w:val="00E73C3B"/>
    <w:rsid w:val="00E74AB2"/>
    <w:rsid w:val="00E75B38"/>
    <w:rsid w:val="00E75C2E"/>
    <w:rsid w:val="00E765A3"/>
    <w:rsid w:val="00E76BF1"/>
    <w:rsid w:val="00E77CE0"/>
    <w:rsid w:val="00E80D00"/>
    <w:rsid w:val="00E824B0"/>
    <w:rsid w:val="00E828F1"/>
    <w:rsid w:val="00E8607C"/>
    <w:rsid w:val="00E862BC"/>
    <w:rsid w:val="00E87B52"/>
    <w:rsid w:val="00E90081"/>
    <w:rsid w:val="00E9081E"/>
    <w:rsid w:val="00E90DA7"/>
    <w:rsid w:val="00E91EE1"/>
    <w:rsid w:val="00E924D0"/>
    <w:rsid w:val="00E93CED"/>
    <w:rsid w:val="00E93E3E"/>
    <w:rsid w:val="00E956CE"/>
    <w:rsid w:val="00E96D69"/>
    <w:rsid w:val="00EA0BB8"/>
    <w:rsid w:val="00EA0D72"/>
    <w:rsid w:val="00EA4712"/>
    <w:rsid w:val="00EA567A"/>
    <w:rsid w:val="00EA5C2E"/>
    <w:rsid w:val="00EA6667"/>
    <w:rsid w:val="00EA695B"/>
    <w:rsid w:val="00EA6E60"/>
    <w:rsid w:val="00EA7C6E"/>
    <w:rsid w:val="00EB3CDF"/>
    <w:rsid w:val="00EB49BF"/>
    <w:rsid w:val="00EB4D00"/>
    <w:rsid w:val="00EB69FC"/>
    <w:rsid w:val="00EC27E2"/>
    <w:rsid w:val="00EC2CEF"/>
    <w:rsid w:val="00EC6787"/>
    <w:rsid w:val="00EC6C61"/>
    <w:rsid w:val="00EC777D"/>
    <w:rsid w:val="00EC7B6F"/>
    <w:rsid w:val="00ED05E7"/>
    <w:rsid w:val="00ED080A"/>
    <w:rsid w:val="00ED2B92"/>
    <w:rsid w:val="00ED3C09"/>
    <w:rsid w:val="00ED440A"/>
    <w:rsid w:val="00ED541B"/>
    <w:rsid w:val="00ED58FA"/>
    <w:rsid w:val="00ED747A"/>
    <w:rsid w:val="00EE0414"/>
    <w:rsid w:val="00EE091A"/>
    <w:rsid w:val="00EE29EE"/>
    <w:rsid w:val="00EE2FB9"/>
    <w:rsid w:val="00EE3FA6"/>
    <w:rsid w:val="00EE4996"/>
    <w:rsid w:val="00EE7536"/>
    <w:rsid w:val="00EE77FB"/>
    <w:rsid w:val="00EF449B"/>
    <w:rsid w:val="00EF565F"/>
    <w:rsid w:val="00EF64C6"/>
    <w:rsid w:val="00F010C6"/>
    <w:rsid w:val="00F010F5"/>
    <w:rsid w:val="00F017F6"/>
    <w:rsid w:val="00F02B74"/>
    <w:rsid w:val="00F033D4"/>
    <w:rsid w:val="00F0622B"/>
    <w:rsid w:val="00F0651C"/>
    <w:rsid w:val="00F06531"/>
    <w:rsid w:val="00F06B62"/>
    <w:rsid w:val="00F0702D"/>
    <w:rsid w:val="00F078B7"/>
    <w:rsid w:val="00F111C6"/>
    <w:rsid w:val="00F11367"/>
    <w:rsid w:val="00F11C5D"/>
    <w:rsid w:val="00F121F6"/>
    <w:rsid w:val="00F12F8D"/>
    <w:rsid w:val="00F13EC2"/>
    <w:rsid w:val="00F14CE9"/>
    <w:rsid w:val="00F15A28"/>
    <w:rsid w:val="00F16974"/>
    <w:rsid w:val="00F16C79"/>
    <w:rsid w:val="00F170CE"/>
    <w:rsid w:val="00F17450"/>
    <w:rsid w:val="00F215C5"/>
    <w:rsid w:val="00F23EF2"/>
    <w:rsid w:val="00F320C0"/>
    <w:rsid w:val="00F33A95"/>
    <w:rsid w:val="00F35257"/>
    <w:rsid w:val="00F35511"/>
    <w:rsid w:val="00F36320"/>
    <w:rsid w:val="00F36FA3"/>
    <w:rsid w:val="00F3716F"/>
    <w:rsid w:val="00F37975"/>
    <w:rsid w:val="00F40152"/>
    <w:rsid w:val="00F406E1"/>
    <w:rsid w:val="00F41156"/>
    <w:rsid w:val="00F41EEB"/>
    <w:rsid w:val="00F44122"/>
    <w:rsid w:val="00F4675F"/>
    <w:rsid w:val="00F46903"/>
    <w:rsid w:val="00F46BCA"/>
    <w:rsid w:val="00F471FB"/>
    <w:rsid w:val="00F47301"/>
    <w:rsid w:val="00F50B83"/>
    <w:rsid w:val="00F51846"/>
    <w:rsid w:val="00F52AF2"/>
    <w:rsid w:val="00F52D31"/>
    <w:rsid w:val="00F549C4"/>
    <w:rsid w:val="00F54A23"/>
    <w:rsid w:val="00F55CCF"/>
    <w:rsid w:val="00F55CF9"/>
    <w:rsid w:val="00F566A9"/>
    <w:rsid w:val="00F6054A"/>
    <w:rsid w:val="00F606DA"/>
    <w:rsid w:val="00F60B6A"/>
    <w:rsid w:val="00F60FCB"/>
    <w:rsid w:val="00F61188"/>
    <w:rsid w:val="00F62909"/>
    <w:rsid w:val="00F62D84"/>
    <w:rsid w:val="00F63DD2"/>
    <w:rsid w:val="00F64B7B"/>
    <w:rsid w:val="00F64C30"/>
    <w:rsid w:val="00F652A3"/>
    <w:rsid w:val="00F652D4"/>
    <w:rsid w:val="00F70E7B"/>
    <w:rsid w:val="00F712C0"/>
    <w:rsid w:val="00F7143B"/>
    <w:rsid w:val="00F720DE"/>
    <w:rsid w:val="00F74630"/>
    <w:rsid w:val="00F746A9"/>
    <w:rsid w:val="00F76564"/>
    <w:rsid w:val="00F76E82"/>
    <w:rsid w:val="00F80B37"/>
    <w:rsid w:val="00F85048"/>
    <w:rsid w:val="00F8554A"/>
    <w:rsid w:val="00F858EC"/>
    <w:rsid w:val="00F859CE"/>
    <w:rsid w:val="00F86DF8"/>
    <w:rsid w:val="00F87F88"/>
    <w:rsid w:val="00F90403"/>
    <w:rsid w:val="00F92245"/>
    <w:rsid w:val="00F927E8"/>
    <w:rsid w:val="00F933D9"/>
    <w:rsid w:val="00F9453F"/>
    <w:rsid w:val="00F9465C"/>
    <w:rsid w:val="00F96144"/>
    <w:rsid w:val="00FA0D07"/>
    <w:rsid w:val="00FA2C23"/>
    <w:rsid w:val="00FA2F61"/>
    <w:rsid w:val="00FA5BD0"/>
    <w:rsid w:val="00FA6B0E"/>
    <w:rsid w:val="00FA720F"/>
    <w:rsid w:val="00FA7616"/>
    <w:rsid w:val="00FB19C3"/>
    <w:rsid w:val="00FB1DD1"/>
    <w:rsid w:val="00FB1EC3"/>
    <w:rsid w:val="00FB30FC"/>
    <w:rsid w:val="00FB43D5"/>
    <w:rsid w:val="00FB4C83"/>
    <w:rsid w:val="00FB4DB8"/>
    <w:rsid w:val="00FB52A7"/>
    <w:rsid w:val="00FB5F98"/>
    <w:rsid w:val="00FB63C4"/>
    <w:rsid w:val="00FB67C9"/>
    <w:rsid w:val="00FB6BD0"/>
    <w:rsid w:val="00FC1643"/>
    <w:rsid w:val="00FC31F0"/>
    <w:rsid w:val="00FC416A"/>
    <w:rsid w:val="00FC4C6C"/>
    <w:rsid w:val="00FC5D6B"/>
    <w:rsid w:val="00FC66BC"/>
    <w:rsid w:val="00FD0ACC"/>
    <w:rsid w:val="00FD3713"/>
    <w:rsid w:val="00FD43FF"/>
    <w:rsid w:val="00FD4D91"/>
    <w:rsid w:val="00FE1BE8"/>
    <w:rsid w:val="00FE1CF6"/>
    <w:rsid w:val="00FE264A"/>
    <w:rsid w:val="00FE2AF7"/>
    <w:rsid w:val="00FE3F25"/>
    <w:rsid w:val="00FE47B0"/>
    <w:rsid w:val="00FE6502"/>
    <w:rsid w:val="00FE6E28"/>
    <w:rsid w:val="00FF192D"/>
    <w:rsid w:val="00FF2697"/>
    <w:rsid w:val="00FF3776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8D1F89D"/>
  <w15:docId w15:val="{8282A125-6243-4BA5-8485-632A695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BA12">
    <w:name w:val="PB_A12"/>
    <w:basedOn w:val="Normln"/>
    <w:rsid w:val="001931AC"/>
    <w:pPr>
      <w:tabs>
        <w:tab w:val="left" w:pos="709"/>
      </w:tabs>
      <w:spacing w:before="120" w:line="312" w:lineRule="auto"/>
      <w:ind w:right="113" w:firstLine="709"/>
      <w:jc w:val="both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2B41D9"/>
    <w:rPr>
      <w:rFonts w:ascii="Arial" w:hAnsi="Arial"/>
      <w:b/>
      <w:bCs/>
      <w:sz w:val="3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B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60BF"/>
    <w:rPr>
      <w:b/>
      <w:bCs/>
    </w:rPr>
  </w:style>
  <w:style w:type="table" w:styleId="Mkatabulky">
    <w:name w:val="Table Grid"/>
    <w:basedOn w:val="Normlntabulka"/>
    <w:uiPriority w:val="39"/>
    <w:rsid w:val="00557F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1618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2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FE0A-99D9-4968-9D15-43FFDFA2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22</Pages>
  <Words>5403</Words>
  <Characters>28373</Characters>
  <Application>Microsoft Office Word</Application>
  <DocSecurity>0</DocSecurity>
  <Lines>236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33709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Blahová Alice Bc. (MPSV)</cp:lastModifiedBy>
  <cp:revision>23</cp:revision>
  <cp:lastPrinted>2019-10-23T07:08:00Z</cp:lastPrinted>
  <dcterms:created xsi:type="dcterms:W3CDTF">2022-06-03T07:18:00Z</dcterms:created>
  <dcterms:modified xsi:type="dcterms:W3CDTF">2022-07-27T07:01:00Z</dcterms:modified>
</cp:coreProperties>
</file>